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4640" w14:textId="5CC5CB6B" w:rsidR="007D5CD3" w:rsidRPr="007D5CD3" w:rsidRDefault="007D5CD3" w:rsidP="00014773">
      <w:pPr>
        <w:spacing w:after="0" w:line="240" w:lineRule="auto"/>
        <w:ind w:left="-426"/>
        <w:rPr>
          <w:b/>
          <w:sz w:val="18"/>
        </w:rPr>
      </w:pPr>
      <w:bookmarkStart w:id="0" w:name="OLE_LINK1"/>
      <w:r w:rsidRPr="007D5CD3">
        <w:rPr>
          <w:b/>
          <w:sz w:val="18"/>
        </w:rPr>
        <w:t>Task purpose</w:t>
      </w:r>
    </w:p>
    <w:p w14:paraId="5BCD31D0" w14:textId="0FE2D851" w:rsidR="007D5CD3" w:rsidRPr="007D5CD3" w:rsidRDefault="006E5DA3" w:rsidP="007D5CD3">
      <w:pPr>
        <w:spacing w:after="0" w:line="240" w:lineRule="auto"/>
        <w:ind w:left="-426"/>
        <w:rPr>
          <w:bCs/>
          <w:sz w:val="18"/>
        </w:rPr>
      </w:pPr>
      <w:r w:rsidRPr="006E5DA3">
        <w:rPr>
          <w:bCs/>
          <w:sz w:val="18"/>
        </w:rPr>
        <w:t>After submitting a 1000-word textual analysis on your chosen art pieces, you will answer questions and reflect on your analysis in a 10–12</w:t>
      </w:r>
      <w:r>
        <w:rPr>
          <w:bCs/>
          <w:sz w:val="18"/>
        </w:rPr>
        <w:t>-</w:t>
      </w:r>
      <w:r w:rsidRPr="006E5DA3">
        <w:rPr>
          <w:bCs/>
          <w:sz w:val="18"/>
        </w:rPr>
        <w:t>minute IOA session with two assessors. You will be assessed according to the following rubric on your theoretical understanding and application of knowledge learned during the subject.</w:t>
      </w:r>
      <w:r w:rsidR="007D5CD3">
        <w:rPr>
          <w:bCs/>
          <w:sz w:val="18"/>
        </w:rPr>
        <w:br/>
      </w:r>
      <w:r w:rsidR="007D5CD3">
        <w:rPr>
          <w:bCs/>
          <w:sz w:val="18"/>
        </w:rPr>
        <w:br/>
      </w:r>
      <w:r w:rsidR="007D5CD3" w:rsidRPr="007D5CD3">
        <w:rPr>
          <w:b/>
          <w:sz w:val="18"/>
        </w:rPr>
        <w:t>Subject ILOs</w:t>
      </w:r>
    </w:p>
    <w:p w14:paraId="69FCD8FE" w14:textId="294D1DF3" w:rsidR="007D5CD3" w:rsidRPr="007D5CD3" w:rsidRDefault="00BE70CB" w:rsidP="007D5CD3">
      <w:pPr>
        <w:pStyle w:val="ListParagraph"/>
        <w:numPr>
          <w:ilvl w:val="0"/>
          <w:numId w:val="1"/>
        </w:numPr>
        <w:spacing w:after="0" w:line="240" w:lineRule="auto"/>
        <w:rPr>
          <w:bCs/>
          <w:sz w:val="18"/>
        </w:rPr>
      </w:pPr>
      <w:r>
        <w:rPr>
          <w:bCs/>
          <w:sz w:val="18"/>
        </w:rPr>
        <w:t>I</w:t>
      </w:r>
      <w:r w:rsidR="007D5CD3" w:rsidRPr="007D5CD3">
        <w:rPr>
          <w:bCs/>
          <w:sz w:val="18"/>
        </w:rPr>
        <w:t xml:space="preserve">dentify key historical works of art and social contexts of the modern </w:t>
      </w:r>
      <w:proofErr w:type="gramStart"/>
      <w:r w:rsidR="007D5CD3" w:rsidRPr="007D5CD3">
        <w:rPr>
          <w:bCs/>
          <w:sz w:val="18"/>
        </w:rPr>
        <w:t>era;</w:t>
      </w:r>
      <w:proofErr w:type="gramEnd"/>
    </w:p>
    <w:p w14:paraId="241D7FB6" w14:textId="4B5A05B1" w:rsidR="007D5CD3" w:rsidRPr="007D5CD3" w:rsidRDefault="00BE70CB" w:rsidP="007D5CD3">
      <w:pPr>
        <w:pStyle w:val="ListParagraph"/>
        <w:numPr>
          <w:ilvl w:val="0"/>
          <w:numId w:val="1"/>
        </w:numPr>
        <w:spacing w:after="0" w:line="240" w:lineRule="auto"/>
        <w:rPr>
          <w:bCs/>
          <w:sz w:val="18"/>
        </w:rPr>
      </w:pPr>
      <w:r>
        <w:rPr>
          <w:bCs/>
          <w:sz w:val="18"/>
        </w:rPr>
        <w:t>P</w:t>
      </w:r>
      <w:r w:rsidR="007D5CD3" w:rsidRPr="007D5CD3">
        <w:rPr>
          <w:bCs/>
          <w:sz w:val="18"/>
        </w:rPr>
        <w:t xml:space="preserve">erform basic textual analysis using appropriate terminology in the context of modern </w:t>
      </w:r>
      <w:proofErr w:type="gramStart"/>
      <w:r w:rsidR="007D5CD3" w:rsidRPr="007D5CD3">
        <w:rPr>
          <w:bCs/>
          <w:sz w:val="18"/>
        </w:rPr>
        <w:t>art</w:t>
      </w:r>
      <w:r>
        <w:rPr>
          <w:bCs/>
          <w:sz w:val="18"/>
        </w:rPr>
        <w:t>;</w:t>
      </w:r>
      <w:proofErr w:type="gramEnd"/>
    </w:p>
    <w:p w14:paraId="1AB93120" w14:textId="29A61345" w:rsidR="007D5CD3" w:rsidRPr="007D5CD3" w:rsidRDefault="00BE70CB" w:rsidP="007D5CD3">
      <w:pPr>
        <w:pStyle w:val="ListParagraph"/>
        <w:numPr>
          <w:ilvl w:val="0"/>
          <w:numId w:val="1"/>
        </w:numPr>
        <w:spacing w:after="0" w:line="240" w:lineRule="auto"/>
        <w:rPr>
          <w:bCs/>
          <w:sz w:val="18"/>
        </w:rPr>
      </w:pPr>
      <w:r>
        <w:rPr>
          <w:bCs/>
          <w:sz w:val="18"/>
        </w:rPr>
        <w:t>A</w:t>
      </w:r>
      <w:r w:rsidR="007D5CD3" w:rsidRPr="007D5CD3">
        <w:rPr>
          <w:bCs/>
          <w:sz w:val="18"/>
        </w:rPr>
        <w:t xml:space="preserve">pply methods for critically interpreting works of modern </w:t>
      </w:r>
      <w:proofErr w:type="gramStart"/>
      <w:r w:rsidR="007D5CD3" w:rsidRPr="007D5CD3">
        <w:rPr>
          <w:bCs/>
          <w:sz w:val="18"/>
        </w:rPr>
        <w:t>art;</w:t>
      </w:r>
      <w:proofErr w:type="gramEnd"/>
    </w:p>
    <w:p w14:paraId="11152E55" w14:textId="5F75B8F8" w:rsidR="002209EE" w:rsidRPr="007D5CD3" w:rsidRDefault="00BE70CB" w:rsidP="007D5CD3">
      <w:pPr>
        <w:pStyle w:val="ListParagraph"/>
        <w:numPr>
          <w:ilvl w:val="0"/>
          <w:numId w:val="1"/>
        </w:numPr>
        <w:spacing w:after="0" w:line="240" w:lineRule="auto"/>
        <w:rPr>
          <w:bCs/>
          <w:sz w:val="18"/>
        </w:rPr>
      </w:pPr>
      <w:r>
        <w:rPr>
          <w:bCs/>
          <w:sz w:val="18"/>
        </w:rPr>
        <w:t>D</w:t>
      </w:r>
      <w:r w:rsidR="007D5CD3" w:rsidRPr="007D5CD3">
        <w:rPr>
          <w:bCs/>
          <w:sz w:val="18"/>
        </w:rPr>
        <w:t>emonstrate academic literacy and art-specific research methodologies.</w:t>
      </w:r>
    </w:p>
    <w:p w14:paraId="16C31DFE" w14:textId="77777777" w:rsidR="00516724" w:rsidRPr="005C68EF" w:rsidRDefault="00516724" w:rsidP="00A76E82">
      <w:pPr>
        <w:spacing w:after="0" w:line="240" w:lineRule="auto"/>
        <w:ind w:left="-426"/>
        <w:rPr>
          <w:sz w:val="18"/>
        </w:rPr>
      </w:pPr>
    </w:p>
    <w:tbl>
      <w:tblPr>
        <w:tblStyle w:val="TableGrid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693"/>
        <w:gridCol w:w="2694"/>
        <w:gridCol w:w="2693"/>
        <w:gridCol w:w="2694"/>
      </w:tblGrid>
      <w:tr w:rsidR="00C16895" w:rsidRPr="005C68EF" w14:paraId="1FCEC234" w14:textId="77777777" w:rsidTr="00292497">
        <w:trPr>
          <w:trHeight w:val="111"/>
        </w:trPr>
        <w:tc>
          <w:tcPr>
            <w:tcW w:w="1560" w:type="dxa"/>
            <w:shd w:val="clear" w:color="auto" w:fill="DEEAF6" w:themeFill="accent5" w:themeFillTint="33"/>
          </w:tcPr>
          <w:p w14:paraId="4CE2B2A6" w14:textId="52664676" w:rsidR="00C16895" w:rsidRPr="00947691" w:rsidRDefault="00E507EC" w:rsidP="00C50B2A">
            <w:pPr>
              <w:tabs>
                <w:tab w:val="left" w:pos="1031"/>
              </w:tabs>
              <w:ind w:left="179" w:right="282"/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Band</w:t>
            </w:r>
          </w:p>
        </w:tc>
        <w:tc>
          <w:tcPr>
            <w:tcW w:w="2693" w:type="dxa"/>
            <w:vMerge w:val="restart"/>
            <w:shd w:val="clear" w:color="auto" w:fill="DEEAF6" w:themeFill="accent5" w:themeFillTint="33"/>
          </w:tcPr>
          <w:p w14:paraId="381713F4" w14:textId="502DE56C" w:rsidR="00C16895" w:rsidRPr="00947691" w:rsidRDefault="0068133D" w:rsidP="002C53E7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H1 Excellent</w:t>
            </w:r>
          </w:p>
          <w:p w14:paraId="2FEC6558" w14:textId="30120B93" w:rsidR="00C16895" w:rsidRPr="00947691" w:rsidRDefault="00B36FFF" w:rsidP="002C53E7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1</w:t>
            </w:r>
            <w:r w:rsidR="00E507EC">
              <w:rPr>
                <w:rFonts w:eastAsia="Times New Roman" w:cs="Calibri"/>
                <w:b/>
                <w:sz w:val="20"/>
                <w:szCs w:val="20"/>
                <w:lang w:eastAsia="en-AU"/>
              </w:rPr>
              <w:t>5</w:t>
            </w:r>
            <w:r w:rsidR="00C16895">
              <w:rPr>
                <w:rFonts w:eastAsia="Times New Roman" w:cs="Calibri"/>
                <w:b/>
                <w:sz w:val="20"/>
                <w:szCs w:val="20"/>
                <w:lang w:eastAsia="en-AU"/>
              </w:rPr>
              <w:t>–</w:t>
            </w:r>
            <w:r w:rsidR="00B15C50">
              <w:rPr>
                <w:rFonts w:eastAsia="Times New Roman" w:cs="Calibri"/>
                <w:b/>
                <w:sz w:val="20"/>
                <w:szCs w:val="20"/>
                <w:lang w:eastAsia="en-AU"/>
              </w:rPr>
              <w:t>14</w:t>
            </w:r>
            <w:r w:rsidR="00C16895"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693" w:type="dxa"/>
            <w:vMerge w:val="restart"/>
            <w:shd w:val="clear" w:color="auto" w:fill="DEEAF6" w:themeFill="accent5" w:themeFillTint="33"/>
          </w:tcPr>
          <w:p w14:paraId="5C3B821D" w14:textId="3D9DA6A6" w:rsidR="00C16895" w:rsidRPr="00947691" w:rsidRDefault="0068133D" w:rsidP="002C53E7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H2A </w:t>
            </w:r>
            <w:r w:rsidR="00C16895"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>Very high</w:t>
            </w:r>
          </w:p>
          <w:p w14:paraId="1AF8AF0C" w14:textId="20296051" w:rsidR="00C16895" w:rsidRPr="00947691" w:rsidRDefault="00B15C50" w:rsidP="002C53E7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13</w:t>
            </w:r>
            <w:r w:rsidR="00C16895">
              <w:rPr>
                <w:rFonts w:eastAsia="Times New Roman" w:cs="Calibri"/>
                <w:b/>
                <w:sz w:val="20"/>
                <w:szCs w:val="20"/>
                <w:lang w:eastAsia="en-AU"/>
              </w:rPr>
              <w:t>–</w:t>
            </w: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694" w:type="dxa"/>
            <w:vMerge w:val="restart"/>
            <w:shd w:val="clear" w:color="auto" w:fill="DEEAF6" w:themeFill="accent5" w:themeFillTint="33"/>
          </w:tcPr>
          <w:p w14:paraId="21865BEE" w14:textId="2B17F6F6" w:rsidR="00C16895" w:rsidRPr="00947691" w:rsidRDefault="0068133D" w:rsidP="006603A5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H3 </w:t>
            </w:r>
            <w:r w:rsidR="00C16895"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>Good</w:t>
            </w:r>
          </w:p>
          <w:p w14:paraId="6F4C1B91" w14:textId="76FE5032" w:rsidR="00C16895" w:rsidRPr="00947691" w:rsidRDefault="00B15C50" w:rsidP="002C53E7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11</w:t>
            </w:r>
            <w:r w:rsidR="006E09B4">
              <w:rPr>
                <w:rFonts w:eastAsia="Times New Roman" w:cs="Calibri"/>
                <w:b/>
                <w:sz w:val="20"/>
                <w:szCs w:val="20"/>
                <w:lang w:eastAsia="en-AU"/>
              </w:rPr>
              <w:t>–</w:t>
            </w: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693" w:type="dxa"/>
            <w:vMerge w:val="restart"/>
            <w:shd w:val="clear" w:color="auto" w:fill="DEEAF6" w:themeFill="accent5" w:themeFillTint="33"/>
          </w:tcPr>
          <w:p w14:paraId="7BBD4FD8" w14:textId="77777777" w:rsidR="00C16895" w:rsidRPr="00947691" w:rsidRDefault="00C16895" w:rsidP="002C53E7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>Satisfactory</w:t>
            </w:r>
          </w:p>
          <w:p w14:paraId="55CA69CF" w14:textId="0FC477FE" w:rsidR="00C16895" w:rsidRPr="00947691" w:rsidRDefault="00B15C50" w:rsidP="002C53E7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9</w:t>
            </w:r>
            <w:r w:rsidR="00C16895">
              <w:rPr>
                <w:rFonts w:eastAsia="Times New Roman" w:cs="Calibri"/>
                <w:b/>
                <w:sz w:val="20"/>
                <w:szCs w:val="20"/>
                <w:lang w:eastAsia="en-AU"/>
              </w:rPr>
              <w:t>–</w:t>
            </w:r>
            <w:r w:rsidR="00FC22EA">
              <w:rPr>
                <w:rFonts w:eastAsia="Times New Roman" w:cs="Calibri"/>
                <w:b/>
                <w:sz w:val="20"/>
                <w:szCs w:val="20"/>
                <w:lang w:eastAsia="en-AU"/>
              </w:rPr>
              <w:t>7.5</w:t>
            </w:r>
          </w:p>
        </w:tc>
        <w:tc>
          <w:tcPr>
            <w:tcW w:w="2694" w:type="dxa"/>
            <w:vMerge w:val="restart"/>
            <w:shd w:val="clear" w:color="auto" w:fill="9CC2E5" w:themeFill="accent5" w:themeFillTint="99"/>
          </w:tcPr>
          <w:p w14:paraId="4431EBAD" w14:textId="77777777" w:rsidR="00295DFC" w:rsidRPr="00F21CC9" w:rsidRDefault="00295DFC" w:rsidP="00295DFC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Needs improvement</w:t>
            </w:r>
          </w:p>
          <w:p w14:paraId="514A05D6" w14:textId="3C863377" w:rsidR="00C16895" w:rsidRPr="00947691" w:rsidRDefault="00B36FFF" w:rsidP="002C53E7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7</w:t>
            </w:r>
            <w:r w:rsidR="00203F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>–</w:t>
            </w: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0</w:t>
            </w:r>
            <w:r w:rsidR="005B166B">
              <w:rPr>
                <w:rFonts w:eastAsia="Times New Roman" w:cs="Calibri"/>
                <w:b/>
                <w:sz w:val="20"/>
                <w:szCs w:val="20"/>
                <w:lang w:eastAsia="en-AU"/>
              </w:rPr>
              <w:t>**</w:t>
            </w:r>
          </w:p>
        </w:tc>
      </w:tr>
      <w:tr w:rsidR="00C16895" w:rsidRPr="005C68EF" w14:paraId="1C3168F9" w14:textId="77777777" w:rsidTr="00292497">
        <w:tc>
          <w:tcPr>
            <w:tcW w:w="1560" w:type="dxa"/>
            <w:shd w:val="clear" w:color="auto" w:fill="DEEAF6" w:themeFill="accent5" w:themeFillTint="33"/>
          </w:tcPr>
          <w:p w14:paraId="59FD081A" w14:textId="77777777" w:rsidR="00C16895" w:rsidRPr="00947691" w:rsidRDefault="00C16895" w:rsidP="006603A5">
            <w:pPr>
              <w:tabs>
                <w:tab w:val="left" w:pos="1031"/>
              </w:tabs>
              <w:ind w:left="179" w:right="282"/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>Criteria</w:t>
            </w:r>
          </w:p>
        </w:tc>
        <w:tc>
          <w:tcPr>
            <w:tcW w:w="2693" w:type="dxa"/>
            <w:vMerge/>
            <w:shd w:val="clear" w:color="auto" w:fill="DEEAF6" w:themeFill="accent5" w:themeFillTint="33"/>
          </w:tcPr>
          <w:p w14:paraId="5B2CA4A9" w14:textId="7B08CBD5" w:rsidR="00C16895" w:rsidRPr="00947691" w:rsidRDefault="00C16895" w:rsidP="002C53E7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693" w:type="dxa"/>
            <w:vMerge/>
            <w:shd w:val="clear" w:color="auto" w:fill="DEEAF6" w:themeFill="accent5" w:themeFillTint="33"/>
          </w:tcPr>
          <w:p w14:paraId="5AB5D1B7" w14:textId="7EBED5CC" w:rsidR="00C16895" w:rsidRPr="00947691" w:rsidRDefault="00C16895" w:rsidP="002C53E7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694" w:type="dxa"/>
            <w:vMerge/>
            <w:shd w:val="clear" w:color="auto" w:fill="DEEAF6" w:themeFill="accent5" w:themeFillTint="33"/>
          </w:tcPr>
          <w:p w14:paraId="5A7990EE" w14:textId="7B870DEA" w:rsidR="00C16895" w:rsidRPr="00947691" w:rsidRDefault="00C16895" w:rsidP="002C53E7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693" w:type="dxa"/>
            <w:vMerge/>
            <w:shd w:val="clear" w:color="auto" w:fill="DEEAF6" w:themeFill="accent5" w:themeFillTint="33"/>
          </w:tcPr>
          <w:p w14:paraId="04B9CE62" w14:textId="57FED236" w:rsidR="00C16895" w:rsidRPr="00947691" w:rsidRDefault="00C16895" w:rsidP="002C53E7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694" w:type="dxa"/>
            <w:vMerge/>
            <w:shd w:val="clear" w:color="auto" w:fill="9CC2E5" w:themeFill="accent5" w:themeFillTint="99"/>
          </w:tcPr>
          <w:p w14:paraId="672F49DC" w14:textId="2B40DD5A" w:rsidR="00C16895" w:rsidRPr="00947691" w:rsidRDefault="00C16895" w:rsidP="002C53E7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</w:p>
        </w:tc>
      </w:tr>
      <w:tr w:rsidR="005C68EF" w:rsidRPr="005C68EF" w14:paraId="313FFDEF" w14:textId="77777777" w:rsidTr="006338FF">
        <w:trPr>
          <w:trHeight w:val="2340"/>
        </w:trPr>
        <w:tc>
          <w:tcPr>
            <w:tcW w:w="1560" w:type="dxa"/>
          </w:tcPr>
          <w:p w14:paraId="1ED28E49" w14:textId="711DE34C" w:rsidR="001C69A1" w:rsidRPr="00947691" w:rsidRDefault="00990E20" w:rsidP="00F21CC9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8D7996">
              <w:rPr>
                <w:rFonts w:eastAsia="Times New Roman" w:cs="Calibri"/>
                <w:b/>
                <w:sz w:val="19"/>
                <w:szCs w:val="19"/>
                <w:lang w:eastAsia="en-AU"/>
              </w:rPr>
              <w:t>Demonstrat</w:t>
            </w:r>
            <w:r w:rsidR="00EC78DB">
              <w:rPr>
                <w:rFonts w:eastAsia="Times New Roman" w:cs="Calibri"/>
                <w:b/>
                <w:sz w:val="19"/>
                <w:szCs w:val="19"/>
                <w:lang w:eastAsia="en-AU"/>
              </w:rPr>
              <w:t>ion</w:t>
            </w:r>
            <w:r w:rsidR="00A00C2D" w:rsidRPr="008D7996">
              <w:rPr>
                <w:rFonts w:eastAsia="Times New Roman" w:cs="Calibri"/>
                <w:b/>
                <w:sz w:val="19"/>
                <w:szCs w:val="19"/>
                <w:lang w:eastAsia="en-AU"/>
              </w:rPr>
              <w:t xml:space="preserve"> </w:t>
            </w:r>
            <w:r w:rsidR="00876176">
              <w:rPr>
                <w:rFonts w:eastAsia="Times New Roman" w:cs="Calibri"/>
                <w:b/>
                <w:sz w:val="19"/>
                <w:szCs w:val="19"/>
                <w:lang w:eastAsia="en-AU"/>
              </w:rPr>
              <w:t xml:space="preserve">of </w:t>
            </w:r>
            <w:r w:rsidR="00A00C2D" w:rsidRPr="008D7996">
              <w:rPr>
                <w:rFonts w:eastAsia="Times New Roman" w:cs="Calibri"/>
                <w:b/>
                <w:sz w:val="19"/>
                <w:szCs w:val="19"/>
                <w:lang w:eastAsia="en-AU"/>
              </w:rPr>
              <w:t>knowledge of</w:t>
            </w:r>
            <w:r w:rsidR="0031752D" w:rsidRPr="008D7996">
              <w:rPr>
                <w:rFonts w:eastAsia="Times New Roman" w:cs="Calibri"/>
                <w:b/>
                <w:sz w:val="19"/>
                <w:szCs w:val="19"/>
                <w:lang w:eastAsia="en-AU"/>
              </w:rPr>
              <w:t xml:space="preserve"> key historical works of art and social contexts</w:t>
            </w:r>
            <w:r w:rsidR="00A00C2D"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 </w:t>
            </w:r>
            <w:r w:rsidR="000E5723"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 </w:t>
            </w:r>
          </w:p>
          <w:p w14:paraId="2E94C916" w14:textId="2B2404F2" w:rsidR="000E5723" w:rsidRPr="005C68EF" w:rsidRDefault="000E5723" w:rsidP="00FA67E9">
            <w:pPr>
              <w:rPr>
                <w:rFonts w:eastAsia="Times New Roman" w:cs="Calibri"/>
                <w:b/>
                <w:sz w:val="16"/>
                <w:szCs w:val="18"/>
                <w:lang w:eastAsia="en-AU"/>
              </w:rPr>
            </w:pPr>
            <w:r w:rsidRPr="00947691">
              <w:rPr>
                <w:rFonts w:eastAsia="Times New Roman" w:cs="Calibri"/>
                <w:sz w:val="20"/>
                <w:szCs w:val="20"/>
                <w:lang w:eastAsia="en-AU"/>
              </w:rPr>
              <w:t>(</w:t>
            </w:r>
            <w:r w:rsidR="00FA67E9">
              <w:rPr>
                <w:rFonts w:eastAsia="Times New Roman" w:cs="Calibri"/>
                <w:sz w:val="20"/>
                <w:szCs w:val="20"/>
                <w:lang w:eastAsia="en-AU"/>
              </w:rPr>
              <w:t>1</w:t>
            </w:r>
            <w:r w:rsidRPr="00947691">
              <w:rPr>
                <w:rFonts w:eastAsia="Times New Roman" w:cs="Calibri"/>
                <w:sz w:val="20"/>
                <w:szCs w:val="20"/>
                <w:lang w:eastAsia="en-AU"/>
              </w:rPr>
              <w:t>5%)</w:t>
            </w:r>
          </w:p>
        </w:tc>
        <w:tc>
          <w:tcPr>
            <w:tcW w:w="2693" w:type="dxa"/>
          </w:tcPr>
          <w:p w14:paraId="1CF3266A" w14:textId="5F1836F7" w:rsidR="00E81B26" w:rsidRPr="006338FF" w:rsidRDefault="000A0D51" w:rsidP="006D7FDB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>
              <w:rPr>
                <w:sz w:val="19"/>
                <w:szCs w:val="19"/>
              </w:rPr>
              <w:t>You</w:t>
            </w:r>
            <w:r w:rsidR="00EC550F">
              <w:rPr>
                <w:sz w:val="19"/>
                <w:szCs w:val="19"/>
              </w:rPr>
              <w:t>r responses</w:t>
            </w:r>
            <w:r>
              <w:rPr>
                <w:sz w:val="19"/>
                <w:szCs w:val="19"/>
              </w:rPr>
              <w:t xml:space="preserve"> d</w:t>
            </w:r>
            <w:r w:rsidR="00597048" w:rsidRPr="006338FF">
              <w:rPr>
                <w:sz w:val="19"/>
                <w:szCs w:val="19"/>
              </w:rPr>
              <w:t xml:space="preserve">emonstrate comprehensive and insightful knowledge of key historical works of art, with consistently </w:t>
            </w:r>
            <w:r w:rsidR="00360C51" w:rsidRPr="006338FF">
              <w:rPr>
                <w:sz w:val="19"/>
                <w:szCs w:val="19"/>
              </w:rPr>
              <w:t xml:space="preserve">relevant and </w:t>
            </w:r>
            <w:r w:rsidR="00597048" w:rsidRPr="006338FF">
              <w:rPr>
                <w:sz w:val="19"/>
                <w:szCs w:val="19"/>
              </w:rPr>
              <w:t>accurate references to historical</w:t>
            </w:r>
            <w:r w:rsidR="00DB0D00">
              <w:rPr>
                <w:sz w:val="19"/>
                <w:szCs w:val="19"/>
              </w:rPr>
              <w:t xml:space="preserve"> </w:t>
            </w:r>
            <w:r w:rsidR="00597048" w:rsidRPr="006338FF">
              <w:rPr>
                <w:sz w:val="19"/>
                <w:szCs w:val="19"/>
              </w:rPr>
              <w:t xml:space="preserve">and social contexts. </w:t>
            </w:r>
            <w:r w:rsidR="00B05A10">
              <w:rPr>
                <w:sz w:val="19"/>
                <w:szCs w:val="19"/>
              </w:rPr>
              <w:t xml:space="preserve">You </w:t>
            </w:r>
            <w:r w:rsidR="00B05A10" w:rsidRPr="006338FF">
              <w:rPr>
                <w:sz w:val="19"/>
                <w:szCs w:val="19"/>
              </w:rPr>
              <w:t>offer deep insight</w:t>
            </w:r>
            <w:r w:rsidR="00B05A10">
              <w:rPr>
                <w:sz w:val="19"/>
                <w:szCs w:val="19"/>
              </w:rPr>
              <w:t xml:space="preserve">s </w:t>
            </w:r>
            <w:r w:rsidR="008D6C9C">
              <w:rPr>
                <w:sz w:val="19"/>
                <w:szCs w:val="19"/>
              </w:rPr>
              <w:t>making sophisticated</w:t>
            </w:r>
            <w:r w:rsidR="00597048" w:rsidRPr="006338FF">
              <w:rPr>
                <w:sz w:val="19"/>
                <w:szCs w:val="19"/>
              </w:rPr>
              <w:t xml:space="preserve"> connections between artworks and broader social developments</w:t>
            </w:r>
            <w:r w:rsidR="00772F68" w:rsidRPr="006338FF">
              <w:rPr>
                <w:sz w:val="19"/>
                <w:szCs w:val="19"/>
              </w:rPr>
              <w:t>.</w:t>
            </w:r>
          </w:p>
        </w:tc>
        <w:tc>
          <w:tcPr>
            <w:tcW w:w="2693" w:type="dxa"/>
          </w:tcPr>
          <w:p w14:paraId="6785A3EA" w14:textId="1F0E4821" w:rsidR="00BB3A37" w:rsidRPr="006338FF" w:rsidRDefault="00EC550F" w:rsidP="00BB3A37">
            <w:pPr>
              <w:rPr>
                <w:vanish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Your responses </w:t>
            </w:r>
            <w:r w:rsidR="008D6C9C">
              <w:rPr>
                <w:sz w:val="19"/>
                <w:szCs w:val="19"/>
              </w:rPr>
              <w:t>d</w:t>
            </w:r>
            <w:r w:rsidR="003D4FAC" w:rsidRPr="006338FF">
              <w:rPr>
                <w:sz w:val="19"/>
                <w:szCs w:val="19"/>
              </w:rPr>
              <w:t xml:space="preserve">emonstrate strong knowledge of key historical works of art and their social contexts. </w:t>
            </w:r>
            <w:r w:rsidR="008D6C9C">
              <w:rPr>
                <w:sz w:val="19"/>
                <w:szCs w:val="19"/>
              </w:rPr>
              <w:t>You a</w:t>
            </w:r>
            <w:r w:rsidR="003D4FAC" w:rsidRPr="006338FF">
              <w:rPr>
                <w:sz w:val="19"/>
                <w:szCs w:val="19"/>
              </w:rPr>
              <w:t xml:space="preserve">ccurately explain relationships between artworks and the historical and cultural environments in which they were created. </w:t>
            </w:r>
            <w:r w:rsidR="008D6C9C">
              <w:rPr>
                <w:sz w:val="19"/>
                <w:szCs w:val="19"/>
              </w:rPr>
              <w:t>Your a</w:t>
            </w:r>
            <w:r w:rsidR="003D4FAC" w:rsidRPr="006338FF">
              <w:rPr>
                <w:sz w:val="19"/>
                <w:szCs w:val="19"/>
              </w:rPr>
              <w:t>nalysis is clear and well-supported</w:t>
            </w:r>
            <w:r w:rsidR="00772F68" w:rsidRPr="006338FF">
              <w:rPr>
                <w:sz w:val="19"/>
                <w:szCs w:val="19"/>
              </w:rPr>
              <w:t>.</w:t>
            </w:r>
          </w:p>
          <w:p w14:paraId="371566AF" w14:textId="73374302" w:rsidR="00F03929" w:rsidRPr="006338FF" w:rsidRDefault="00F03929" w:rsidP="006D7FDB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</w:p>
        </w:tc>
        <w:tc>
          <w:tcPr>
            <w:tcW w:w="2694" w:type="dxa"/>
          </w:tcPr>
          <w:p w14:paraId="675BFDCC" w14:textId="3405442C" w:rsidR="00F03929" w:rsidRPr="006338FF" w:rsidRDefault="00EC550F" w:rsidP="006D7FDB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>
              <w:rPr>
                <w:sz w:val="19"/>
                <w:szCs w:val="19"/>
              </w:rPr>
              <w:t xml:space="preserve">Your responses </w:t>
            </w:r>
            <w:r w:rsidR="008D6C9C">
              <w:rPr>
                <w:rFonts w:eastAsia="Times New Roman" w:cs="Calibri"/>
                <w:sz w:val="19"/>
                <w:szCs w:val="19"/>
                <w:lang w:eastAsia="en-AU"/>
              </w:rPr>
              <w:t>d</w:t>
            </w:r>
            <w:r w:rsidR="00214E4D" w:rsidRPr="006338FF">
              <w:rPr>
                <w:rFonts w:eastAsia="Times New Roman" w:cs="Calibri"/>
                <w:sz w:val="19"/>
                <w:szCs w:val="19"/>
                <w:lang w:eastAsia="en-AU"/>
              </w:rPr>
              <w:t xml:space="preserve">emonstrate sound knowledge of key historical works of art and some understanding of relevant social contexts. </w:t>
            </w:r>
            <w:r w:rsidR="008D6C9C">
              <w:rPr>
                <w:rFonts w:eastAsia="Times New Roman" w:cs="Calibri"/>
                <w:sz w:val="19"/>
                <w:szCs w:val="19"/>
                <w:lang w:eastAsia="en-AU"/>
              </w:rPr>
              <w:t xml:space="preserve">You </w:t>
            </w:r>
            <w:r w:rsidR="008D6C9C">
              <w:rPr>
                <w:sz w:val="19"/>
                <w:szCs w:val="19"/>
              </w:rPr>
              <w:t>s</w:t>
            </w:r>
            <w:r w:rsidR="00772F68" w:rsidRPr="006338FF">
              <w:rPr>
                <w:sz w:val="19"/>
                <w:szCs w:val="19"/>
              </w:rPr>
              <w:t xml:space="preserve">how depth of understanding beyond surface-level facts. </w:t>
            </w:r>
            <w:r w:rsidR="008D6C9C">
              <w:rPr>
                <w:sz w:val="19"/>
                <w:szCs w:val="19"/>
              </w:rPr>
              <w:t xml:space="preserve">You </w:t>
            </w:r>
            <w:r w:rsidR="008D6C9C">
              <w:rPr>
                <w:rFonts w:eastAsia="Times New Roman" w:cs="Calibri"/>
                <w:sz w:val="19"/>
                <w:szCs w:val="19"/>
                <w:lang w:eastAsia="en-AU"/>
              </w:rPr>
              <w:t>i</w:t>
            </w:r>
            <w:r w:rsidR="00214E4D" w:rsidRPr="006338FF">
              <w:rPr>
                <w:rFonts w:eastAsia="Times New Roman" w:cs="Calibri"/>
                <w:sz w:val="19"/>
                <w:szCs w:val="19"/>
                <w:lang w:eastAsia="en-AU"/>
              </w:rPr>
              <w:t>dentif</w:t>
            </w:r>
            <w:r w:rsidR="008D6C9C">
              <w:rPr>
                <w:rFonts w:eastAsia="Times New Roman" w:cs="Calibri"/>
                <w:sz w:val="19"/>
                <w:szCs w:val="19"/>
                <w:lang w:eastAsia="en-AU"/>
              </w:rPr>
              <w:t>y</w:t>
            </w:r>
            <w:r w:rsidR="00214E4D" w:rsidRPr="006338FF">
              <w:rPr>
                <w:rFonts w:eastAsia="Times New Roman" w:cs="Calibri"/>
                <w:sz w:val="19"/>
                <w:szCs w:val="19"/>
                <w:lang w:eastAsia="en-AU"/>
              </w:rPr>
              <w:t xml:space="preserve"> key features and periods accurately, though connections to context may be more general or occasionally underdeveloped.</w:t>
            </w:r>
          </w:p>
        </w:tc>
        <w:tc>
          <w:tcPr>
            <w:tcW w:w="2693" w:type="dxa"/>
          </w:tcPr>
          <w:p w14:paraId="4F2456D2" w14:textId="48A9F73C" w:rsidR="00120BFA" w:rsidRPr="006338FF" w:rsidRDefault="00EC550F" w:rsidP="002C53E7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>
              <w:rPr>
                <w:sz w:val="19"/>
                <w:szCs w:val="19"/>
              </w:rPr>
              <w:t xml:space="preserve">Your responses </w:t>
            </w:r>
            <w:r w:rsidR="008D6C9C">
              <w:rPr>
                <w:rFonts w:eastAsia="Times New Roman" w:cs="Calibri"/>
                <w:sz w:val="19"/>
                <w:szCs w:val="19"/>
                <w:lang w:eastAsia="en-AU"/>
              </w:rPr>
              <w:t>d</w:t>
            </w:r>
            <w:r w:rsidR="00A00AE7" w:rsidRPr="006338FF">
              <w:rPr>
                <w:rFonts w:eastAsia="Times New Roman" w:cs="Calibri"/>
                <w:sz w:val="19"/>
                <w:szCs w:val="19"/>
                <w:lang w:eastAsia="en-AU"/>
              </w:rPr>
              <w:t xml:space="preserve">emonstrate basic knowledge of some key historical works of art, with limited reference to social or cultural contexts. </w:t>
            </w:r>
            <w:r w:rsidR="008D6C9C">
              <w:rPr>
                <w:rFonts w:eastAsia="Times New Roman" w:cs="Calibri"/>
                <w:sz w:val="19"/>
                <w:szCs w:val="19"/>
                <w:lang w:eastAsia="en-AU"/>
              </w:rPr>
              <w:t>Your u</w:t>
            </w:r>
            <w:r w:rsidR="00A00AE7" w:rsidRPr="006338FF">
              <w:rPr>
                <w:rFonts w:eastAsia="Times New Roman" w:cs="Calibri"/>
                <w:sz w:val="19"/>
                <w:szCs w:val="19"/>
                <w:lang w:eastAsia="en-AU"/>
              </w:rPr>
              <w:t>nderstandings may be simplistic or occasionally inaccurate, but a general awareness is evident.</w:t>
            </w:r>
          </w:p>
        </w:tc>
        <w:tc>
          <w:tcPr>
            <w:tcW w:w="2694" w:type="dxa"/>
          </w:tcPr>
          <w:p w14:paraId="40239CB7" w14:textId="52DC11F6" w:rsidR="000E5723" w:rsidRPr="006338FF" w:rsidRDefault="001467C4" w:rsidP="002C53E7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 w:rsidRPr="001467C4">
              <w:rPr>
                <w:rFonts w:eastAsia="Times New Roman" w:cs="Calibri"/>
                <w:sz w:val="19"/>
                <w:szCs w:val="19"/>
                <w:lang w:eastAsia="en-AU"/>
              </w:rPr>
              <w:t xml:space="preserve">To improve, work on developing a more accurate understanding of key historical works of art by engaging with </w:t>
            </w:r>
            <w:r w:rsidR="00941667">
              <w:rPr>
                <w:rFonts w:eastAsia="Times New Roman" w:cs="Calibri"/>
                <w:sz w:val="19"/>
                <w:szCs w:val="19"/>
                <w:lang w:eastAsia="en-AU"/>
              </w:rPr>
              <w:t>the</w:t>
            </w:r>
            <w:r w:rsidRPr="001467C4">
              <w:rPr>
                <w:rFonts w:eastAsia="Times New Roman" w:cs="Calibri"/>
                <w:sz w:val="19"/>
                <w:szCs w:val="19"/>
                <w:lang w:eastAsia="en-AU"/>
              </w:rPr>
              <w:t xml:space="preserve"> </w:t>
            </w:r>
            <w:r w:rsidR="00941667">
              <w:rPr>
                <w:rFonts w:eastAsia="Times New Roman" w:cs="Calibri"/>
                <w:sz w:val="19"/>
                <w:szCs w:val="19"/>
                <w:lang w:eastAsia="en-AU"/>
              </w:rPr>
              <w:t>readings</w:t>
            </w:r>
            <w:r w:rsidRPr="001467C4">
              <w:rPr>
                <w:rFonts w:eastAsia="Times New Roman" w:cs="Calibri"/>
                <w:sz w:val="19"/>
                <w:szCs w:val="19"/>
                <w:lang w:eastAsia="en-AU"/>
              </w:rPr>
              <w:t>. Aim to explore and articulate the social contexts surrounding these works more clearly. Strengthen your responses by addressing current gaps in knowledge.</w:t>
            </w:r>
          </w:p>
        </w:tc>
      </w:tr>
      <w:tr w:rsidR="0068133D" w:rsidRPr="005C68EF" w14:paraId="2ECBE491" w14:textId="77777777" w:rsidTr="0068133D">
        <w:trPr>
          <w:trHeight w:val="142"/>
        </w:trPr>
        <w:tc>
          <w:tcPr>
            <w:tcW w:w="1560" w:type="dxa"/>
            <w:shd w:val="clear" w:color="auto" w:fill="D9E2F3" w:themeFill="accent1" w:themeFillTint="33"/>
          </w:tcPr>
          <w:p w14:paraId="66B22726" w14:textId="58AD91F0" w:rsidR="0068133D" w:rsidRPr="00947691" w:rsidRDefault="0068133D" w:rsidP="00E507EC">
            <w:pPr>
              <w:ind w:right="28"/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Band</w:t>
            </w:r>
          </w:p>
        </w:tc>
        <w:tc>
          <w:tcPr>
            <w:tcW w:w="2693" w:type="dxa"/>
            <w:vMerge w:val="restart"/>
            <w:shd w:val="clear" w:color="auto" w:fill="D9E2F3" w:themeFill="accent1" w:themeFillTint="33"/>
          </w:tcPr>
          <w:p w14:paraId="5B94DB95" w14:textId="61DDBAB4" w:rsidR="0068133D" w:rsidRPr="0068133D" w:rsidRDefault="0068133D" w:rsidP="0068133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H1 </w:t>
            </w: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Excellent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AU"/>
              </w:rPr>
              <w:br/>
            </w: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25–23</w:t>
            </w:r>
          </w:p>
        </w:tc>
        <w:tc>
          <w:tcPr>
            <w:tcW w:w="2693" w:type="dxa"/>
            <w:vMerge w:val="restart"/>
            <w:shd w:val="clear" w:color="auto" w:fill="D9E2F3" w:themeFill="accent1" w:themeFillTint="33"/>
          </w:tcPr>
          <w:p w14:paraId="1617BE7C" w14:textId="27DF014F" w:rsidR="0068133D" w:rsidRPr="003F504E" w:rsidRDefault="0068133D" w:rsidP="003F504E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H2A </w:t>
            </w:r>
            <w:r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>Very high</w:t>
            </w:r>
          </w:p>
          <w:p w14:paraId="78B8C9DA" w14:textId="1ABEB451" w:rsidR="0068133D" w:rsidRPr="00F31260" w:rsidRDefault="0068133D" w:rsidP="00F31260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22–20</w:t>
            </w:r>
          </w:p>
        </w:tc>
        <w:tc>
          <w:tcPr>
            <w:tcW w:w="2694" w:type="dxa"/>
            <w:vMerge w:val="restart"/>
            <w:shd w:val="clear" w:color="auto" w:fill="D9E2F3" w:themeFill="accent1" w:themeFillTint="33"/>
          </w:tcPr>
          <w:p w14:paraId="5102037B" w14:textId="4C998389" w:rsidR="0068133D" w:rsidRPr="003F504E" w:rsidRDefault="0068133D" w:rsidP="003F504E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H3 </w:t>
            </w:r>
            <w:r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>Good</w:t>
            </w:r>
          </w:p>
          <w:p w14:paraId="6424B185" w14:textId="22175A9D" w:rsidR="0068133D" w:rsidRPr="00F31260" w:rsidRDefault="0068133D" w:rsidP="00F31260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19–16</w:t>
            </w:r>
          </w:p>
        </w:tc>
        <w:tc>
          <w:tcPr>
            <w:tcW w:w="2693" w:type="dxa"/>
            <w:vMerge w:val="restart"/>
            <w:shd w:val="clear" w:color="auto" w:fill="D9E2F3" w:themeFill="accent1" w:themeFillTint="33"/>
          </w:tcPr>
          <w:p w14:paraId="318D8EB4" w14:textId="29A3512F" w:rsidR="0068133D" w:rsidRPr="003F504E" w:rsidRDefault="0068133D" w:rsidP="003F504E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>Satisfactory</w:t>
            </w:r>
          </w:p>
          <w:p w14:paraId="6EBB28EF" w14:textId="678A3CC0" w:rsidR="0068133D" w:rsidRPr="00F31260" w:rsidRDefault="0068133D" w:rsidP="00F31260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15–12.5</w:t>
            </w:r>
          </w:p>
        </w:tc>
        <w:tc>
          <w:tcPr>
            <w:tcW w:w="2694" w:type="dxa"/>
            <w:vMerge w:val="restart"/>
            <w:shd w:val="clear" w:color="auto" w:fill="9CC2E5" w:themeFill="accent5" w:themeFillTint="99"/>
          </w:tcPr>
          <w:p w14:paraId="20F7FE0C" w14:textId="77777777" w:rsidR="00295DFC" w:rsidRPr="00F21CC9" w:rsidRDefault="00295DFC" w:rsidP="00295DFC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Needs improvement</w:t>
            </w:r>
          </w:p>
          <w:p w14:paraId="1D1E4F10" w14:textId="3D498C42" w:rsidR="0068133D" w:rsidRPr="00F31260" w:rsidRDefault="0068133D" w:rsidP="00F31260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12–0**</w:t>
            </w:r>
          </w:p>
        </w:tc>
      </w:tr>
      <w:tr w:rsidR="0068133D" w:rsidRPr="005C68EF" w14:paraId="31413ED0" w14:textId="77777777" w:rsidTr="00292497">
        <w:trPr>
          <w:trHeight w:val="141"/>
        </w:trPr>
        <w:tc>
          <w:tcPr>
            <w:tcW w:w="1560" w:type="dxa"/>
            <w:shd w:val="clear" w:color="auto" w:fill="D9E2F3" w:themeFill="accent1" w:themeFillTint="33"/>
          </w:tcPr>
          <w:p w14:paraId="02BDD512" w14:textId="5BB6F6D4" w:rsidR="0068133D" w:rsidRDefault="0068133D" w:rsidP="00E507EC">
            <w:pPr>
              <w:ind w:right="28"/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Criteria</w:t>
            </w:r>
          </w:p>
        </w:tc>
        <w:tc>
          <w:tcPr>
            <w:tcW w:w="2693" w:type="dxa"/>
            <w:vMerge/>
            <w:shd w:val="clear" w:color="auto" w:fill="D9E2F3" w:themeFill="accent1" w:themeFillTint="33"/>
          </w:tcPr>
          <w:p w14:paraId="47A3C571" w14:textId="77777777" w:rsidR="0068133D" w:rsidRPr="00947691" w:rsidRDefault="0068133D" w:rsidP="003F504E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693" w:type="dxa"/>
            <w:vMerge/>
            <w:shd w:val="clear" w:color="auto" w:fill="D9E2F3" w:themeFill="accent1" w:themeFillTint="33"/>
          </w:tcPr>
          <w:p w14:paraId="70DA58D7" w14:textId="77777777" w:rsidR="0068133D" w:rsidRPr="00947691" w:rsidRDefault="0068133D" w:rsidP="003F504E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694" w:type="dxa"/>
            <w:vMerge/>
            <w:shd w:val="clear" w:color="auto" w:fill="D9E2F3" w:themeFill="accent1" w:themeFillTint="33"/>
          </w:tcPr>
          <w:p w14:paraId="038F2A51" w14:textId="77777777" w:rsidR="0068133D" w:rsidRPr="00947691" w:rsidRDefault="0068133D" w:rsidP="003F504E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693" w:type="dxa"/>
            <w:vMerge/>
            <w:shd w:val="clear" w:color="auto" w:fill="D9E2F3" w:themeFill="accent1" w:themeFillTint="33"/>
          </w:tcPr>
          <w:p w14:paraId="265722CB" w14:textId="77777777" w:rsidR="0068133D" w:rsidRPr="00947691" w:rsidRDefault="0068133D" w:rsidP="003F504E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694" w:type="dxa"/>
            <w:vMerge/>
            <w:shd w:val="clear" w:color="auto" w:fill="9CC2E5" w:themeFill="accent5" w:themeFillTint="99"/>
          </w:tcPr>
          <w:p w14:paraId="77DE9684" w14:textId="77777777" w:rsidR="0068133D" w:rsidRPr="00947691" w:rsidRDefault="0068133D" w:rsidP="003F504E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</w:p>
        </w:tc>
      </w:tr>
      <w:tr w:rsidR="005C68EF" w:rsidRPr="005C68EF" w14:paraId="5919217A" w14:textId="77777777" w:rsidTr="00BE70CB">
        <w:trPr>
          <w:trHeight w:val="2967"/>
        </w:trPr>
        <w:tc>
          <w:tcPr>
            <w:tcW w:w="1560" w:type="dxa"/>
          </w:tcPr>
          <w:p w14:paraId="7EFD9169" w14:textId="55A59486" w:rsidR="000E5723" w:rsidRPr="00947691" w:rsidRDefault="00C466D6" w:rsidP="00F21CC9">
            <w:pPr>
              <w:ind w:right="28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Critical </w:t>
            </w:r>
            <w:r w:rsidR="00C61A9B">
              <w:rPr>
                <w:rFonts w:eastAsia="Times New Roman" w:cs="Calibri"/>
                <w:b/>
                <w:sz w:val="20"/>
                <w:szCs w:val="20"/>
                <w:lang w:eastAsia="en-AU"/>
              </w:rPr>
              <w:t>interpretation</w:t>
            </w: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 of </w:t>
            </w:r>
            <w:r w:rsidR="00C61A9B"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art piece </w:t>
            </w:r>
            <w:r w:rsidR="000E5723" w:rsidRPr="00947691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>(</w:t>
            </w:r>
            <w:r w:rsidR="00FA67E9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>25</w:t>
            </w:r>
            <w:r w:rsidR="000E5723" w:rsidRPr="00947691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>%)</w:t>
            </w:r>
          </w:p>
        </w:tc>
        <w:tc>
          <w:tcPr>
            <w:tcW w:w="2693" w:type="dxa"/>
          </w:tcPr>
          <w:p w14:paraId="321EAA32" w14:textId="119606CC" w:rsidR="000E5723" w:rsidRPr="006338FF" w:rsidRDefault="008D6C9C" w:rsidP="002C53E7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>
              <w:rPr>
                <w:rFonts w:eastAsia="Times New Roman" w:cs="Calibri"/>
                <w:sz w:val="19"/>
                <w:szCs w:val="19"/>
                <w:lang w:eastAsia="en-AU"/>
              </w:rPr>
              <w:t>You o</w:t>
            </w:r>
            <w:r w:rsidR="004B3641" w:rsidRPr="006338FF">
              <w:rPr>
                <w:rFonts w:eastAsia="Times New Roman" w:cs="Calibri"/>
                <w:sz w:val="19"/>
                <w:szCs w:val="19"/>
                <w:lang w:eastAsia="en-AU"/>
              </w:rPr>
              <w:t xml:space="preserve">ffer a sophisticated and nuanced critical interpretation of the art piece, demonstrating deep engagement with visual elements, symbolism, style, technique, and meaning.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Your i</w:t>
            </w:r>
            <w:r w:rsidR="004B3641" w:rsidRPr="006338FF">
              <w:rPr>
                <w:rFonts w:eastAsia="Times New Roman" w:cs="Calibri"/>
                <w:sz w:val="19"/>
                <w:szCs w:val="19"/>
                <w:lang w:eastAsia="en-AU"/>
              </w:rPr>
              <w:t xml:space="preserve">nterpretation is insightful, original and well-supported by evidence.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 c</w:t>
            </w:r>
            <w:r w:rsidR="004B3641" w:rsidRPr="006338FF">
              <w:rPr>
                <w:rFonts w:eastAsia="Times New Roman" w:cs="Calibri"/>
                <w:sz w:val="19"/>
                <w:szCs w:val="19"/>
                <w:lang w:eastAsia="en-AU"/>
              </w:rPr>
              <w:t>onsider multiple perspectives and integrate contextual understanding seamlessly.</w:t>
            </w:r>
          </w:p>
        </w:tc>
        <w:tc>
          <w:tcPr>
            <w:tcW w:w="2693" w:type="dxa"/>
          </w:tcPr>
          <w:p w14:paraId="5D740F36" w14:textId="2443BB2A" w:rsidR="000E5723" w:rsidRPr="006338FF" w:rsidRDefault="008D6C9C" w:rsidP="00A00AE7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>
              <w:rPr>
                <w:rFonts w:eastAsia="Times New Roman" w:cs="Calibri"/>
                <w:sz w:val="19"/>
                <w:szCs w:val="19"/>
                <w:lang w:eastAsia="en-AU"/>
              </w:rPr>
              <w:t>You p</w:t>
            </w:r>
            <w:r w:rsidR="00B869F1" w:rsidRPr="006338FF">
              <w:rPr>
                <w:rFonts w:eastAsia="Times New Roman" w:cs="Calibri"/>
                <w:sz w:val="19"/>
                <w:szCs w:val="19"/>
                <w:lang w:eastAsia="en-AU"/>
              </w:rPr>
              <w:t>rovide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 xml:space="preserve"> </w:t>
            </w:r>
            <w:r w:rsidR="00B869F1" w:rsidRPr="006338FF">
              <w:rPr>
                <w:rFonts w:eastAsia="Times New Roman" w:cs="Calibri"/>
                <w:sz w:val="19"/>
                <w:szCs w:val="19"/>
                <w:lang w:eastAsia="en-AU"/>
              </w:rPr>
              <w:t xml:space="preserve">a well-developed and thoughtful interpretation of the art piece.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 d</w:t>
            </w:r>
            <w:r w:rsidR="00B869F1" w:rsidRPr="006338FF">
              <w:rPr>
                <w:rFonts w:eastAsia="Times New Roman" w:cs="Calibri"/>
                <w:sz w:val="19"/>
                <w:szCs w:val="19"/>
                <w:lang w:eastAsia="en-AU"/>
              </w:rPr>
              <w:t xml:space="preserve">emonstrate clear understanding of visual elements and contextual factors, with analysis supported by relevant evidence.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Your i</w:t>
            </w:r>
            <w:r w:rsidR="00B869F1" w:rsidRPr="006338FF">
              <w:rPr>
                <w:rFonts w:eastAsia="Times New Roman" w:cs="Calibri"/>
                <w:sz w:val="19"/>
                <w:szCs w:val="19"/>
                <w:lang w:eastAsia="en-AU"/>
              </w:rPr>
              <w:t>nterpretation shows depth and may incorporate some originality or multiple perspectives.</w:t>
            </w:r>
          </w:p>
        </w:tc>
        <w:tc>
          <w:tcPr>
            <w:tcW w:w="2694" w:type="dxa"/>
          </w:tcPr>
          <w:p w14:paraId="51532467" w14:textId="5EB11D8B" w:rsidR="00DE1FF4" w:rsidRPr="006338FF" w:rsidRDefault="008D6C9C" w:rsidP="00F642FE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>
              <w:rPr>
                <w:rFonts w:eastAsia="Times New Roman" w:cs="Calibri"/>
                <w:sz w:val="19"/>
                <w:szCs w:val="19"/>
                <w:lang w:eastAsia="en-AU"/>
              </w:rPr>
              <w:t>You p</w:t>
            </w:r>
            <w:r w:rsidR="00B869F1" w:rsidRPr="006338FF">
              <w:rPr>
                <w:rFonts w:eastAsia="Times New Roman" w:cs="Calibri"/>
                <w:sz w:val="19"/>
                <w:szCs w:val="19"/>
                <w:lang w:eastAsia="en-AU"/>
              </w:rPr>
              <w:t xml:space="preserve">resent a clear and generally accurate interpretation of the art piece.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 r</w:t>
            </w:r>
            <w:r w:rsidR="00B869F1" w:rsidRPr="006338FF">
              <w:rPr>
                <w:rFonts w:eastAsia="Times New Roman" w:cs="Calibri"/>
                <w:sz w:val="19"/>
                <w:szCs w:val="19"/>
                <w:lang w:eastAsia="en-AU"/>
              </w:rPr>
              <w:t>ecogni</w:t>
            </w:r>
            <w:r w:rsidR="006B4D50" w:rsidRPr="006338FF">
              <w:rPr>
                <w:rFonts w:eastAsia="Times New Roman" w:cs="Calibri"/>
                <w:sz w:val="19"/>
                <w:szCs w:val="19"/>
                <w:lang w:eastAsia="en-AU"/>
              </w:rPr>
              <w:t>s</w:t>
            </w:r>
            <w:r w:rsidR="00B869F1" w:rsidRPr="006338FF">
              <w:rPr>
                <w:rFonts w:eastAsia="Times New Roman" w:cs="Calibri"/>
                <w:sz w:val="19"/>
                <w:szCs w:val="19"/>
                <w:lang w:eastAsia="en-AU"/>
              </w:rPr>
              <w:t xml:space="preserve">e key visual elements and some contextual influences.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Your i</w:t>
            </w:r>
            <w:r w:rsidR="00B869F1" w:rsidRPr="006338FF">
              <w:rPr>
                <w:rFonts w:eastAsia="Times New Roman" w:cs="Calibri"/>
                <w:sz w:val="19"/>
                <w:szCs w:val="19"/>
                <w:lang w:eastAsia="en-AU"/>
              </w:rPr>
              <w:t>nterpretation is logical and supported, though may be somewhat descriptive or lack</w:t>
            </w:r>
            <w:r w:rsidR="001A3611">
              <w:rPr>
                <w:rFonts w:eastAsia="Times New Roman" w:cs="Calibri"/>
                <w:sz w:val="19"/>
                <w:szCs w:val="19"/>
                <w:lang w:eastAsia="en-AU"/>
              </w:rPr>
              <w:t>ing</w:t>
            </w:r>
            <w:r w:rsidR="00B869F1" w:rsidRPr="006338FF">
              <w:rPr>
                <w:rFonts w:eastAsia="Times New Roman" w:cs="Calibri"/>
                <w:sz w:val="19"/>
                <w:szCs w:val="19"/>
                <w:lang w:eastAsia="en-AU"/>
              </w:rPr>
              <w:t xml:space="preserve"> deeper critical insight.</w:t>
            </w:r>
          </w:p>
        </w:tc>
        <w:tc>
          <w:tcPr>
            <w:tcW w:w="2693" w:type="dxa"/>
          </w:tcPr>
          <w:p w14:paraId="7DA8686B" w14:textId="72293B98" w:rsidR="00914FED" w:rsidRPr="006338FF" w:rsidRDefault="001A3611" w:rsidP="005E501E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>
              <w:rPr>
                <w:rFonts w:eastAsia="Times New Roman" w:cs="Calibri"/>
                <w:sz w:val="19"/>
                <w:szCs w:val="19"/>
                <w:lang w:eastAsia="en-AU"/>
              </w:rPr>
              <w:t xml:space="preserve">You </w:t>
            </w:r>
            <w:r w:rsidR="00B458F6">
              <w:rPr>
                <w:rFonts w:eastAsia="Times New Roman" w:cs="Calibri"/>
                <w:sz w:val="19"/>
                <w:szCs w:val="19"/>
                <w:lang w:eastAsia="en-AU"/>
              </w:rPr>
              <w:t>offer</w:t>
            </w:r>
            <w:r w:rsidR="00B869F1" w:rsidRPr="006338FF">
              <w:rPr>
                <w:rFonts w:eastAsia="Times New Roman" w:cs="Calibri"/>
                <w:sz w:val="19"/>
                <w:szCs w:val="19"/>
                <w:lang w:eastAsia="en-AU"/>
              </w:rPr>
              <w:t xml:space="preserve"> a basic interpretation of the art piece, with limited analysis or critical depth.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 m</w:t>
            </w:r>
            <w:r w:rsidR="00B869F1" w:rsidRPr="006338FF">
              <w:rPr>
                <w:rFonts w:eastAsia="Times New Roman" w:cs="Calibri"/>
                <w:sz w:val="19"/>
                <w:szCs w:val="19"/>
                <w:lang w:eastAsia="en-AU"/>
              </w:rPr>
              <w:t xml:space="preserve">ay focus primarily on description rather than interpretation.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Your s</w:t>
            </w:r>
            <w:r w:rsidR="00B869F1" w:rsidRPr="006338FF">
              <w:rPr>
                <w:rFonts w:eastAsia="Times New Roman" w:cs="Calibri"/>
                <w:sz w:val="19"/>
                <w:szCs w:val="19"/>
                <w:lang w:eastAsia="en-AU"/>
              </w:rPr>
              <w:t xml:space="preserve">upport for claims may be minimal or general. </w:t>
            </w:r>
            <w:r w:rsidR="007A693C">
              <w:rPr>
                <w:rFonts w:eastAsia="Times New Roman" w:cs="Calibri"/>
                <w:sz w:val="19"/>
                <w:szCs w:val="19"/>
                <w:lang w:eastAsia="en-AU"/>
              </w:rPr>
              <w:t>You may overlook or misunderstand s</w:t>
            </w:r>
            <w:r w:rsidR="00B869F1" w:rsidRPr="006338FF">
              <w:rPr>
                <w:rFonts w:eastAsia="Times New Roman" w:cs="Calibri"/>
                <w:sz w:val="19"/>
                <w:szCs w:val="19"/>
                <w:lang w:eastAsia="en-AU"/>
              </w:rPr>
              <w:t>ome key aspects of the artwork.</w:t>
            </w:r>
          </w:p>
        </w:tc>
        <w:tc>
          <w:tcPr>
            <w:tcW w:w="2694" w:type="dxa"/>
          </w:tcPr>
          <w:p w14:paraId="40BACB61" w14:textId="5F856E41" w:rsidR="000E5723" w:rsidRPr="006338FF" w:rsidRDefault="00345B00" w:rsidP="00F642FE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 w:rsidRPr="00345B00">
              <w:rPr>
                <w:rFonts w:eastAsia="Times New Roman" w:cs="Calibri"/>
                <w:sz w:val="19"/>
                <w:szCs w:val="19"/>
                <w:lang w:eastAsia="en-AU"/>
              </w:rPr>
              <w:t xml:space="preserve">Work towards developing interpretations </w:t>
            </w:r>
            <w:r w:rsidR="00EB11CE">
              <w:rPr>
                <w:rFonts w:eastAsia="Times New Roman" w:cs="Calibri"/>
                <w:sz w:val="19"/>
                <w:szCs w:val="19"/>
                <w:lang w:eastAsia="en-AU"/>
              </w:rPr>
              <w:t>that</w:t>
            </w:r>
            <w:r w:rsidRPr="00345B00">
              <w:rPr>
                <w:rFonts w:eastAsia="Times New Roman" w:cs="Calibri"/>
                <w:sz w:val="19"/>
                <w:szCs w:val="19"/>
                <w:lang w:eastAsia="en-AU"/>
              </w:rPr>
              <w:t xml:space="preserve"> mov</w:t>
            </w:r>
            <w:r w:rsidR="00EB11CE">
              <w:rPr>
                <w:rFonts w:eastAsia="Times New Roman" w:cs="Calibri"/>
                <w:sz w:val="19"/>
                <w:szCs w:val="19"/>
                <w:lang w:eastAsia="en-AU"/>
              </w:rPr>
              <w:t>e</w:t>
            </w:r>
            <w:r w:rsidRPr="00345B00">
              <w:rPr>
                <w:rFonts w:eastAsia="Times New Roman" w:cs="Calibri"/>
                <w:sz w:val="19"/>
                <w:szCs w:val="19"/>
                <w:lang w:eastAsia="en-AU"/>
              </w:rPr>
              <w:t xml:space="preserve"> beyond simple description. Aim to engage critically with both the visual and contextual features of the artwork. Strengthen your analysis by supporting your ideas with relevant evidence and offering a clearer, more coherent argument.</w:t>
            </w:r>
          </w:p>
        </w:tc>
      </w:tr>
    </w:tbl>
    <w:p w14:paraId="0F33222E" w14:textId="29E61D4B" w:rsidR="00F95BD4" w:rsidRPr="005C68EF" w:rsidRDefault="00F956E3" w:rsidP="00F956E3">
      <w:pPr>
        <w:tabs>
          <w:tab w:val="left" w:pos="5800"/>
        </w:tabs>
      </w:pPr>
      <w:r>
        <w:tab/>
      </w:r>
    </w:p>
    <w:tbl>
      <w:tblPr>
        <w:tblStyle w:val="TableGrid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693"/>
        <w:gridCol w:w="2694"/>
        <w:gridCol w:w="2693"/>
        <w:gridCol w:w="2694"/>
      </w:tblGrid>
      <w:tr w:rsidR="003D36C6" w:rsidRPr="005C68EF" w14:paraId="0A038B85" w14:textId="77777777" w:rsidTr="0068133D">
        <w:trPr>
          <w:trHeight w:val="227"/>
        </w:trPr>
        <w:tc>
          <w:tcPr>
            <w:tcW w:w="1560" w:type="dxa"/>
            <w:shd w:val="clear" w:color="auto" w:fill="D9E2F3" w:themeFill="accent1" w:themeFillTint="33"/>
          </w:tcPr>
          <w:p w14:paraId="0AFBF8F5" w14:textId="7ED8E82E" w:rsidR="003D36C6" w:rsidRPr="00947691" w:rsidRDefault="0068133D" w:rsidP="0068133D">
            <w:pPr>
              <w:ind w:right="28"/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lastRenderedPageBreak/>
              <w:t>Band</w:t>
            </w:r>
          </w:p>
        </w:tc>
        <w:tc>
          <w:tcPr>
            <w:tcW w:w="2693" w:type="dxa"/>
            <w:vMerge w:val="restart"/>
            <w:shd w:val="clear" w:color="auto" w:fill="D9E2F3" w:themeFill="accent1" w:themeFillTint="33"/>
          </w:tcPr>
          <w:p w14:paraId="00ADC4B0" w14:textId="35252D9E" w:rsidR="003D36C6" w:rsidRPr="00947691" w:rsidRDefault="003D36C6" w:rsidP="00C11D7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H1 </w:t>
            </w:r>
            <w:r w:rsidR="0068133D">
              <w:rPr>
                <w:rFonts w:eastAsia="Times New Roman" w:cs="Calibri"/>
                <w:b/>
                <w:sz w:val="20"/>
                <w:szCs w:val="20"/>
                <w:lang w:eastAsia="en-AU"/>
              </w:rPr>
              <w:t>Excellent</w:t>
            </w:r>
          </w:p>
          <w:p w14:paraId="7F8A96DB" w14:textId="18B252B9" w:rsidR="003D36C6" w:rsidRPr="00947691" w:rsidRDefault="00350194" w:rsidP="00C11D7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40–</w:t>
            </w:r>
            <w:r w:rsidR="00E85E48">
              <w:rPr>
                <w:rFonts w:eastAsia="Times New Roman" w:cs="Calibri"/>
                <w:b/>
                <w:sz w:val="20"/>
                <w:szCs w:val="20"/>
                <w:lang w:eastAsia="en-AU"/>
              </w:rPr>
              <w:t>36</w:t>
            </w:r>
            <w:r w:rsidR="007D7232">
              <w:rPr>
                <w:rFonts w:eastAsia="Times New Roman" w:cs="Calibri"/>
                <w:b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693" w:type="dxa"/>
            <w:vMerge w:val="restart"/>
            <w:shd w:val="clear" w:color="auto" w:fill="D9E2F3" w:themeFill="accent1" w:themeFillTint="33"/>
          </w:tcPr>
          <w:p w14:paraId="3FB0AC5C" w14:textId="77777777" w:rsidR="003D36C6" w:rsidRPr="00947691" w:rsidRDefault="003D36C6" w:rsidP="00C11D7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>H2A Very high standard</w:t>
            </w:r>
          </w:p>
          <w:p w14:paraId="02CA572F" w14:textId="1DB65A69" w:rsidR="003D36C6" w:rsidRPr="00947691" w:rsidRDefault="00E85E48" w:rsidP="00C11D7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35–31</w:t>
            </w:r>
          </w:p>
        </w:tc>
        <w:tc>
          <w:tcPr>
            <w:tcW w:w="2694" w:type="dxa"/>
            <w:vMerge w:val="restart"/>
            <w:shd w:val="clear" w:color="auto" w:fill="D9E2F3" w:themeFill="accent1" w:themeFillTint="33"/>
          </w:tcPr>
          <w:p w14:paraId="2BEA189E" w14:textId="77777777" w:rsidR="003D36C6" w:rsidRPr="00947691" w:rsidRDefault="003D36C6" w:rsidP="00C11D7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>H3 Good</w:t>
            </w:r>
          </w:p>
          <w:p w14:paraId="5A4DD6E6" w14:textId="0D8BFF13" w:rsidR="003D36C6" w:rsidRPr="00947691" w:rsidRDefault="00E85E48" w:rsidP="00C11D7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30–2</w:t>
            </w:r>
            <w:r w:rsidR="007D7232">
              <w:rPr>
                <w:rFonts w:eastAsia="Times New Roman" w:cs="Calibri"/>
                <w:b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D9E2F3" w:themeFill="accent1" w:themeFillTint="33"/>
          </w:tcPr>
          <w:p w14:paraId="0C973024" w14:textId="77777777" w:rsidR="003D36C6" w:rsidRPr="00947691" w:rsidRDefault="003D36C6" w:rsidP="00C11D7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>Pass Satisfactory</w:t>
            </w:r>
          </w:p>
          <w:p w14:paraId="773A1144" w14:textId="5AB8A171" w:rsidR="003D36C6" w:rsidRPr="00947691" w:rsidRDefault="00E85E48" w:rsidP="00C11D7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2</w:t>
            </w:r>
            <w:r w:rsidR="007D7232">
              <w:rPr>
                <w:rFonts w:eastAsia="Times New Roman" w:cs="Calibri"/>
                <w:b/>
                <w:sz w:val="20"/>
                <w:szCs w:val="20"/>
                <w:lang w:eastAsia="en-AU"/>
              </w:rPr>
              <w:t>4</w:t>
            </w:r>
            <w:r w:rsidR="005B166B">
              <w:rPr>
                <w:rFonts w:eastAsia="Times New Roman" w:cs="Calibri"/>
                <w:b/>
                <w:sz w:val="20"/>
                <w:szCs w:val="20"/>
                <w:lang w:eastAsia="en-AU"/>
              </w:rPr>
              <w:t>–2</w:t>
            </w:r>
            <w:r w:rsidR="007D7232">
              <w:rPr>
                <w:rFonts w:eastAsia="Times New Roman" w:cs="Calibri"/>
                <w:b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694" w:type="dxa"/>
            <w:vMerge w:val="restart"/>
            <w:shd w:val="clear" w:color="auto" w:fill="9CC2E5" w:themeFill="accent5" w:themeFillTint="99"/>
          </w:tcPr>
          <w:p w14:paraId="01841DB2" w14:textId="7DC003FF" w:rsidR="003D36C6" w:rsidRPr="00F21CC9" w:rsidRDefault="00295DFC" w:rsidP="00C11D7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Needs improvement</w:t>
            </w:r>
          </w:p>
          <w:p w14:paraId="09B54422" w14:textId="585F6BEE" w:rsidR="003D36C6" w:rsidRPr="00F21CC9" w:rsidRDefault="007D7232" w:rsidP="00C11D7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19</w:t>
            </w:r>
            <w:r w:rsidR="005B166B">
              <w:rPr>
                <w:rFonts w:eastAsia="Times New Roman" w:cs="Calibri"/>
                <w:b/>
                <w:sz w:val="20"/>
                <w:szCs w:val="20"/>
                <w:lang w:eastAsia="en-AU"/>
              </w:rPr>
              <w:t>–0</w:t>
            </w:r>
            <w:r w:rsidR="003D36C6" w:rsidRPr="00F21CC9">
              <w:rPr>
                <w:rFonts w:eastAsia="Times New Roman" w:cs="Calibri"/>
                <w:b/>
                <w:sz w:val="20"/>
                <w:szCs w:val="20"/>
                <w:lang w:eastAsia="en-AU"/>
              </w:rPr>
              <w:t>**</w:t>
            </w:r>
          </w:p>
        </w:tc>
      </w:tr>
      <w:tr w:rsidR="003D36C6" w:rsidRPr="005C68EF" w14:paraId="04086D94" w14:textId="77777777" w:rsidTr="0068133D">
        <w:trPr>
          <w:trHeight w:val="227"/>
        </w:trPr>
        <w:tc>
          <w:tcPr>
            <w:tcW w:w="1560" w:type="dxa"/>
            <w:shd w:val="clear" w:color="auto" w:fill="D9E2F3" w:themeFill="accent1" w:themeFillTint="33"/>
          </w:tcPr>
          <w:p w14:paraId="6AC4C44D" w14:textId="096A037E" w:rsidR="003D36C6" w:rsidRPr="00947691" w:rsidRDefault="003D36C6" w:rsidP="0068133D">
            <w:pPr>
              <w:ind w:right="28"/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>Criteria</w:t>
            </w:r>
          </w:p>
        </w:tc>
        <w:tc>
          <w:tcPr>
            <w:tcW w:w="2693" w:type="dxa"/>
            <w:vMerge/>
            <w:shd w:val="clear" w:color="auto" w:fill="D9E2F3" w:themeFill="accent1" w:themeFillTint="33"/>
          </w:tcPr>
          <w:p w14:paraId="19ABBF9A" w14:textId="31A28E7B" w:rsidR="003D36C6" w:rsidRPr="00947691" w:rsidRDefault="003D36C6" w:rsidP="00C11D7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2693" w:type="dxa"/>
            <w:vMerge/>
            <w:shd w:val="clear" w:color="auto" w:fill="D9E2F3" w:themeFill="accent1" w:themeFillTint="33"/>
          </w:tcPr>
          <w:p w14:paraId="6CE2338F" w14:textId="4B528B4D" w:rsidR="003D36C6" w:rsidRPr="00947691" w:rsidRDefault="003D36C6" w:rsidP="00C11D7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2694" w:type="dxa"/>
            <w:vMerge/>
            <w:shd w:val="clear" w:color="auto" w:fill="D9E2F3" w:themeFill="accent1" w:themeFillTint="33"/>
          </w:tcPr>
          <w:p w14:paraId="1CDC0E56" w14:textId="65E8994E" w:rsidR="003D36C6" w:rsidRPr="00947691" w:rsidRDefault="003D36C6" w:rsidP="00C11D7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2693" w:type="dxa"/>
            <w:vMerge/>
            <w:shd w:val="clear" w:color="auto" w:fill="D9E2F3" w:themeFill="accent1" w:themeFillTint="33"/>
          </w:tcPr>
          <w:p w14:paraId="411EA873" w14:textId="771F5656" w:rsidR="003D36C6" w:rsidRPr="00947691" w:rsidRDefault="003D36C6" w:rsidP="00C11D7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2694" w:type="dxa"/>
            <w:vMerge/>
            <w:shd w:val="clear" w:color="auto" w:fill="9CC2E5" w:themeFill="accent5" w:themeFillTint="99"/>
          </w:tcPr>
          <w:p w14:paraId="503107E3" w14:textId="680338CE" w:rsidR="003D36C6" w:rsidRPr="00F21CC9" w:rsidRDefault="003D36C6" w:rsidP="00C11D7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</w:tr>
      <w:tr w:rsidR="005C68EF" w:rsidRPr="005C68EF" w14:paraId="1ED227BB" w14:textId="77777777" w:rsidTr="00F21CC9">
        <w:trPr>
          <w:trHeight w:val="3031"/>
        </w:trPr>
        <w:tc>
          <w:tcPr>
            <w:tcW w:w="1560" w:type="dxa"/>
          </w:tcPr>
          <w:p w14:paraId="34262BF9" w14:textId="4330C7A0" w:rsidR="000E5723" w:rsidRPr="00947691" w:rsidRDefault="006D75A5" w:rsidP="00F21CC9">
            <w:pPr>
              <w:ind w:right="28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Reflection on</w:t>
            </w:r>
            <w:r w:rsidR="00446B79"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 </w:t>
            </w:r>
            <w:r w:rsidR="00A24797">
              <w:rPr>
                <w:rFonts w:eastAsia="Times New Roman" w:cs="Calibri"/>
                <w:b/>
                <w:sz w:val="20"/>
                <w:szCs w:val="20"/>
                <w:lang w:eastAsia="en-AU"/>
              </w:rPr>
              <w:t>your</w:t>
            </w: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 process of</w:t>
            </w:r>
            <w:r w:rsidR="00446B79"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 textual analysis</w:t>
            </w:r>
            <w:r w:rsidR="000E5723"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 </w:t>
            </w:r>
            <w:r w:rsidR="000E5723" w:rsidRPr="00947691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>(</w:t>
            </w:r>
            <w:r w:rsidR="00051597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>40</w:t>
            </w:r>
            <w:r w:rsidR="000E5723" w:rsidRPr="00947691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>%)</w:t>
            </w:r>
          </w:p>
        </w:tc>
        <w:tc>
          <w:tcPr>
            <w:tcW w:w="2693" w:type="dxa"/>
          </w:tcPr>
          <w:p w14:paraId="72087212" w14:textId="3556FD16" w:rsidR="00550EA1" w:rsidRPr="006B05E5" w:rsidRDefault="007A693C" w:rsidP="00833855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>
              <w:rPr>
                <w:rFonts w:eastAsia="Times New Roman" w:cs="Calibri"/>
                <w:sz w:val="19"/>
                <w:szCs w:val="19"/>
                <w:lang w:eastAsia="en-AU"/>
              </w:rPr>
              <w:t>You p</w:t>
            </w:r>
            <w:r w:rsidR="00957AF2" w:rsidRPr="006B05E5">
              <w:rPr>
                <w:rFonts w:eastAsia="Times New Roman" w:cs="Calibri"/>
                <w:sz w:val="19"/>
                <w:szCs w:val="19"/>
                <w:lang w:eastAsia="en-AU"/>
              </w:rPr>
              <w:t xml:space="preserve">rovide a deeply </w:t>
            </w:r>
            <w:r w:rsidR="00A95675">
              <w:rPr>
                <w:rFonts w:eastAsia="Times New Roman" w:cs="Calibri"/>
                <w:sz w:val="19"/>
                <w:szCs w:val="19"/>
                <w:lang w:eastAsia="en-AU"/>
              </w:rPr>
              <w:t>insightful</w:t>
            </w:r>
            <w:r w:rsidR="00957AF2" w:rsidRPr="006B05E5">
              <w:rPr>
                <w:rFonts w:eastAsia="Times New Roman" w:cs="Calibri"/>
                <w:sz w:val="19"/>
                <w:szCs w:val="19"/>
                <w:lang w:eastAsia="en-AU"/>
              </w:rPr>
              <w:t xml:space="preserve"> reflection on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your</w:t>
            </w:r>
            <w:r w:rsidR="00957AF2" w:rsidRPr="006B05E5">
              <w:rPr>
                <w:rFonts w:eastAsia="Times New Roman" w:cs="Calibri"/>
                <w:sz w:val="19"/>
                <w:szCs w:val="19"/>
                <w:lang w:eastAsia="en-AU"/>
              </w:rPr>
              <w:t xml:space="preserve"> process of textual analysis.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 c</w:t>
            </w:r>
            <w:r w:rsidR="00957AF2" w:rsidRPr="006B05E5">
              <w:rPr>
                <w:rFonts w:eastAsia="Times New Roman" w:cs="Calibri"/>
                <w:sz w:val="19"/>
                <w:szCs w:val="19"/>
                <w:lang w:eastAsia="en-AU"/>
              </w:rPr>
              <w:t xml:space="preserve">learly articulate strategies, challenges, decisions, and learning moments throughout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your</w:t>
            </w:r>
            <w:r w:rsidR="00957AF2" w:rsidRPr="006B05E5">
              <w:rPr>
                <w:rFonts w:eastAsia="Times New Roman" w:cs="Calibri"/>
                <w:sz w:val="19"/>
                <w:szCs w:val="19"/>
                <w:lang w:eastAsia="en-AU"/>
              </w:rPr>
              <w:t xml:space="preserve"> process.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 d</w:t>
            </w:r>
            <w:r w:rsidR="00957AF2" w:rsidRPr="006B05E5">
              <w:rPr>
                <w:rFonts w:eastAsia="Times New Roman" w:cs="Calibri"/>
                <w:sz w:val="19"/>
                <w:szCs w:val="19"/>
                <w:lang w:eastAsia="en-AU"/>
              </w:rPr>
              <w:t xml:space="preserve">emonstrate a high level of self-awareness and the ability to evaluate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your</w:t>
            </w:r>
            <w:r w:rsidR="00957AF2" w:rsidRPr="006B05E5">
              <w:rPr>
                <w:rFonts w:eastAsia="Times New Roman" w:cs="Calibri"/>
                <w:sz w:val="19"/>
                <w:szCs w:val="19"/>
                <w:lang w:eastAsia="en-AU"/>
              </w:rPr>
              <w:t xml:space="preserve"> analytical approach critically.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Your r</w:t>
            </w:r>
            <w:r w:rsidR="00957AF2" w:rsidRPr="006B05E5">
              <w:rPr>
                <w:rFonts w:eastAsia="Times New Roman" w:cs="Calibri"/>
                <w:sz w:val="19"/>
                <w:szCs w:val="19"/>
                <w:lang w:eastAsia="en-AU"/>
              </w:rPr>
              <w:t>eflection shows evidence of growth and intention to improve future work.</w:t>
            </w:r>
          </w:p>
        </w:tc>
        <w:tc>
          <w:tcPr>
            <w:tcW w:w="2693" w:type="dxa"/>
          </w:tcPr>
          <w:p w14:paraId="490D1A45" w14:textId="60B385AD" w:rsidR="000E5723" w:rsidRPr="006B05E5" w:rsidRDefault="007A693C" w:rsidP="00833855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>
              <w:rPr>
                <w:rFonts w:eastAsia="Times New Roman" w:cs="Calibri"/>
                <w:sz w:val="19"/>
                <w:szCs w:val="19"/>
                <w:lang w:eastAsia="en-AU"/>
              </w:rPr>
              <w:t>You o</w:t>
            </w:r>
            <w:r w:rsidR="00957AF2" w:rsidRPr="006B05E5">
              <w:rPr>
                <w:rFonts w:eastAsia="Times New Roman" w:cs="Calibri"/>
                <w:sz w:val="19"/>
                <w:szCs w:val="19"/>
                <w:lang w:eastAsia="en-AU"/>
              </w:rPr>
              <w:t xml:space="preserve">ffer a well-considered and detailed reflection on the textual analysis process.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 i</w:t>
            </w:r>
            <w:r w:rsidR="00957AF2" w:rsidRPr="006B05E5">
              <w:rPr>
                <w:rFonts w:eastAsia="Times New Roman" w:cs="Calibri"/>
                <w:sz w:val="19"/>
                <w:szCs w:val="19"/>
                <w:lang w:eastAsia="en-AU"/>
              </w:rPr>
              <w:t>dentif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</w:t>
            </w:r>
            <w:r w:rsidR="00957AF2" w:rsidRPr="006B05E5">
              <w:rPr>
                <w:rFonts w:eastAsia="Times New Roman" w:cs="Calibri"/>
                <w:sz w:val="19"/>
                <w:szCs w:val="19"/>
                <w:lang w:eastAsia="en-AU"/>
              </w:rPr>
              <w:t xml:space="preserve"> key strategies and decisions, with some discussion of challenges and learning.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 d</w:t>
            </w:r>
            <w:r w:rsidR="00957AF2" w:rsidRPr="006B05E5">
              <w:rPr>
                <w:rFonts w:eastAsia="Times New Roman" w:cs="Calibri"/>
                <w:sz w:val="19"/>
                <w:szCs w:val="19"/>
                <w:lang w:eastAsia="en-AU"/>
              </w:rPr>
              <w:t>emonstrate good self-awareness and an ability to evaluate the process with clarity and purpose.</w:t>
            </w:r>
          </w:p>
        </w:tc>
        <w:tc>
          <w:tcPr>
            <w:tcW w:w="2694" w:type="dxa"/>
          </w:tcPr>
          <w:p w14:paraId="500C7D67" w14:textId="4C8B2224" w:rsidR="005F6E38" w:rsidRPr="006B05E5" w:rsidRDefault="007A693C" w:rsidP="00833855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>
              <w:rPr>
                <w:rFonts w:eastAsia="Times New Roman" w:cs="Calibri"/>
                <w:sz w:val="19"/>
                <w:szCs w:val="19"/>
                <w:lang w:eastAsia="en-AU"/>
              </w:rPr>
              <w:t>You p</w:t>
            </w:r>
            <w:r w:rsidR="00957AF2" w:rsidRPr="006B05E5">
              <w:rPr>
                <w:rFonts w:eastAsia="Times New Roman" w:cs="Calibri"/>
                <w:sz w:val="19"/>
                <w:szCs w:val="19"/>
                <w:lang w:eastAsia="en-AU"/>
              </w:rPr>
              <w:t xml:space="preserve">rovide a clear reflection on the process of textual analysis, identifying some strategies and general challenges.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Your r</w:t>
            </w:r>
            <w:r w:rsidR="00957AF2" w:rsidRPr="006B05E5">
              <w:rPr>
                <w:rFonts w:eastAsia="Times New Roman" w:cs="Calibri"/>
                <w:sz w:val="19"/>
                <w:szCs w:val="19"/>
                <w:lang w:eastAsia="en-AU"/>
              </w:rPr>
              <w:t>eflection may be more descriptive than analytical but shows an understanding of the steps taken and some awareness of their effectiveness.</w:t>
            </w:r>
          </w:p>
        </w:tc>
        <w:tc>
          <w:tcPr>
            <w:tcW w:w="2693" w:type="dxa"/>
          </w:tcPr>
          <w:p w14:paraId="0A33B868" w14:textId="62EC78B7" w:rsidR="00621CB7" w:rsidRPr="006B05E5" w:rsidRDefault="007A693C" w:rsidP="00833855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>
              <w:rPr>
                <w:rFonts w:eastAsia="Times New Roman" w:cs="Calibri"/>
                <w:sz w:val="19"/>
                <w:szCs w:val="19"/>
                <w:lang w:eastAsia="en-AU"/>
              </w:rPr>
              <w:t>You p</w:t>
            </w:r>
            <w:r w:rsidR="006B05E5" w:rsidRPr="006B05E5">
              <w:rPr>
                <w:rFonts w:eastAsia="Times New Roman" w:cs="Calibri"/>
                <w:sz w:val="19"/>
                <w:szCs w:val="19"/>
                <w:lang w:eastAsia="en-AU"/>
              </w:rPr>
              <w:t xml:space="preserve">rovide a basic or surface-level reflection on the textual analysis process.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 m</w:t>
            </w:r>
            <w:r w:rsidR="006B05E5" w:rsidRPr="006B05E5">
              <w:rPr>
                <w:rFonts w:eastAsia="Times New Roman" w:cs="Calibri"/>
                <w:sz w:val="19"/>
                <w:szCs w:val="19"/>
                <w:lang w:eastAsia="en-AU"/>
              </w:rPr>
              <w:t xml:space="preserve">ay describe steps taken without deeper insight or critical evaluation.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Your r</w:t>
            </w:r>
            <w:r w:rsidR="006B05E5" w:rsidRPr="006B05E5">
              <w:rPr>
                <w:rFonts w:eastAsia="Times New Roman" w:cs="Calibri"/>
                <w:sz w:val="19"/>
                <w:szCs w:val="19"/>
                <w:lang w:eastAsia="en-AU"/>
              </w:rPr>
              <w:t>eflection lacks depth or misses opportunities to explore learning or growth.</w:t>
            </w:r>
          </w:p>
        </w:tc>
        <w:tc>
          <w:tcPr>
            <w:tcW w:w="2694" w:type="dxa"/>
          </w:tcPr>
          <w:p w14:paraId="7D36150A" w14:textId="02CDBF67" w:rsidR="00902961" w:rsidRPr="006B05E5" w:rsidRDefault="00DD2D47" w:rsidP="00833855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 w:rsidRPr="00DD2D47">
              <w:rPr>
                <w:rFonts w:eastAsia="Times New Roman" w:cs="Calibri"/>
                <w:sz w:val="19"/>
                <w:szCs w:val="19"/>
                <w:lang w:eastAsia="en-AU"/>
              </w:rPr>
              <w:t>Aim to connect your own thoughts directly to your analytical process. Consider discussing the decisions you made, strategies you used, and any challenges you encountered. Engaging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 xml:space="preserve"> </w:t>
            </w:r>
            <w:r w:rsidRPr="00DD2D47">
              <w:rPr>
                <w:rFonts w:eastAsia="Times New Roman" w:cs="Calibri"/>
                <w:sz w:val="19"/>
                <w:szCs w:val="19"/>
                <w:lang w:eastAsia="en-AU"/>
              </w:rPr>
              <w:t>thoughtfully with the reflective task will help deepen your understanding and support your ongoing development.</w:t>
            </w:r>
          </w:p>
        </w:tc>
      </w:tr>
      <w:tr w:rsidR="0068133D" w:rsidRPr="005C68EF" w14:paraId="62722918" w14:textId="77777777" w:rsidTr="0068133D">
        <w:trPr>
          <w:trHeight w:val="112"/>
        </w:trPr>
        <w:tc>
          <w:tcPr>
            <w:tcW w:w="1560" w:type="dxa"/>
            <w:shd w:val="clear" w:color="auto" w:fill="D9E2F3" w:themeFill="accent1" w:themeFillTint="33"/>
          </w:tcPr>
          <w:p w14:paraId="33274AFC" w14:textId="47F6DBF2" w:rsidR="0068133D" w:rsidRPr="00F21CC9" w:rsidRDefault="0068133D" w:rsidP="0068133D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Band</w:t>
            </w:r>
          </w:p>
        </w:tc>
        <w:tc>
          <w:tcPr>
            <w:tcW w:w="2693" w:type="dxa"/>
            <w:vMerge w:val="restart"/>
            <w:shd w:val="clear" w:color="auto" w:fill="D9E2F3" w:themeFill="accent1" w:themeFillTint="33"/>
          </w:tcPr>
          <w:p w14:paraId="0A96EBE8" w14:textId="23021382" w:rsidR="0068133D" w:rsidRPr="00947691" w:rsidRDefault="0068133D" w:rsidP="0068133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H1 </w:t>
            </w: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Excellent</w:t>
            </w:r>
          </w:p>
          <w:p w14:paraId="05747FD7" w14:textId="2AF836FC" w:rsidR="0068133D" w:rsidRPr="00224E15" w:rsidRDefault="0068133D" w:rsidP="0068133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20–</w:t>
            </w:r>
            <w:r w:rsidR="008278E4">
              <w:rPr>
                <w:rFonts w:eastAsia="Times New Roman" w:cs="Calibri"/>
                <w:b/>
                <w:sz w:val="20"/>
                <w:szCs w:val="20"/>
                <w:lang w:eastAsia="en-AU"/>
              </w:rPr>
              <w:t>1</w:t>
            </w:r>
            <w:r w:rsidR="000217A4">
              <w:rPr>
                <w:rFonts w:eastAsia="Times New Roman" w:cs="Calibri"/>
                <w:b/>
                <w:sz w:val="20"/>
                <w:szCs w:val="20"/>
                <w:lang w:eastAsia="en-AU"/>
              </w:rPr>
              <w:t>9</w:t>
            </w: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693" w:type="dxa"/>
            <w:vMerge w:val="restart"/>
            <w:shd w:val="clear" w:color="auto" w:fill="D9E2F3" w:themeFill="accent1" w:themeFillTint="33"/>
          </w:tcPr>
          <w:p w14:paraId="146FDADF" w14:textId="77777777" w:rsidR="0068133D" w:rsidRPr="00947691" w:rsidRDefault="0068133D" w:rsidP="0068133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>H2A Very high standard</w:t>
            </w:r>
          </w:p>
          <w:p w14:paraId="615909DC" w14:textId="5BCBC273" w:rsidR="0068133D" w:rsidRPr="00197FDE" w:rsidRDefault="008278E4" w:rsidP="0068133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1</w:t>
            </w:r>
            <w:r w:rsidR="000217A4">
              <w:rPr>
                <w:rFonts w:eastAsia="Times New Roman" w:cs="Calibri"/>
                <w:b/>
                <w:sz w:val="20"/>
                <w:szCs w:val="20"/>
                <w:lang w:eastAsia="en-AU"/>
              </w:rPr>
              <w:t>8</w:t>
            </w:r>
            <w:r w:rsidR="0068133D">
              <w:rPr>
                <w:rFonts w:eastAsia="Times New Roman" w:cs="Calibri"/>
                <w:b/>
                <w:sz w:val="20"/>
                <w:szCs w:val="20"/>
                <w:lang w:eastAsia="en-AU"/>
              </w:rPr>
              <w:t>–1</w:t>
            </w:r>
            <w:r w:rsidR="000217A4">
              <w:rPr>
                <w:rFonts w:eastAsia="Times New Roman" w:cs="Calibri"/>
                <w:b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694" w:type="dxa"/>
            <w:vMerge w:val="restart"/>
            <w:shd w:val="clear" w:color="auto" w:fill="D9E2F3" w:themeFill="accent1" w:themeFillTint="33"/>
          </w:tcPr>
          <w:p w14:paraId="322BC045" w14:textId="77777777" w:rsidR="0068133D" w:rsidRPr="00947691" w:rsidRDefault="0068133D" w:rsidP="0068133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>H3 Good</w:t>
            </w:r>
          </w:p>
          <w:p w14:paraId="2FDC23F3" w14:textId="16875B90" w:rsidR="0068133D" w:rsidRPr="00197FDE" w:rsidRDefault="008278E4" w:rsidP="0068133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1</w:t>
            </w:r>
            <w:r w:rsidR="000217A4">
              <w:rPr>
                <w:rFonts w:eastAsia="Times New Roman" w:cs="Calibri"/>
                <w:b/>
                <w:sz w:val="20"/>
                <w:szCs w:val="20"/>
                <w:lang w:eastAsia="en-AU"/>
              </w:rPr>
              <w:t>5</w:t>
            </w:r>
            <w:r w:rsidR="0068133D">
              <w:rPr>
                <w:rFonts w:eastAsia="Times New Roman" w:cs="Calibri"/>
                <w:b/>
                <w:sz w:val="20"/>
                <w:szCs w:val="20"/>
                <w:lang w:eastAsia="en-AU"/>
              </w:rPr>
              <w:t>–</w:t>
            </w: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1</w:t>
            </w:r>
            <w:r w:rsidR="000217A4">
              <w:rPr>
                <w:rFonts w:eastAsia="Times New Roman" w:cs="Calibri"/>
                <w:b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D9E2F3" w:themeFill="accent1" w:themeFillTint="33"/>
          </w:tcPr>
          <w:p w14:paraId="39B22F0D" w14:textId="77777777" w:rsidR="0068133D" w:rsidRPr="00947691" w:rsidRDefault="0068133D" w:rsidP="0068133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947691">
              <w:rPr>
                <w:rFonts w:eastAsia="Times New Roman" w:cs="Calibri"/>
                <w:b/>
                <w:sz w:val="20"/>
                <w:szCs w:val="20"/>
                <w:lang w:eastAsia="en-AU"/>
              </w:rPr>
              <w:t>Pass Satisfactory</w:t>
            </w:r>
          </w:p>
          <w:p w14:paraId="2B5BF1C0" w14:textId="69247125" w:rsidR="0068133D" w:rsidRPr="00197FDE" w:rsidRDefault="0068133D" w:rsidP="0068133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1</w:t>
            </w:r>
            <w:r w:rsidR="000217A4">
              <w:rPr>
                <w:rFonts w:eastAsia="Times New Roman" w:cs="Calibri"/>
                <w:b/>
                <w:sz w:val="20"/>
                <w:szCs w:val="20"/>
                <w:lang w:eastAsia="en-AU"/>
              </w:rPr>
              <w:t>2</w:t>
            </w: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–10</w:t>
            </w:r>
          </w:p>
        </w:tc>
        <w:tc>
          <w:tcPr>
            <w:tcW w:w="2694" w:type="dxa"/>
            <w:vMerge w:val="restart"/>
            <w:shd w:val="clear" w:color="auto" w:fill="9CC2E5" w:themeFill="accent5" w:themeFillTint="99"/>
          </w:tcPr>
          <w:p w14:paraId="442343ED" w14:textId="0F479CBB" w:rsidR="0068133D" w:rsidRPr="00F21CC9" w:rsidRDefault="00295DFC" w:rsidP="00295DFC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Needs improvement</w:t>
            </w:r>
          </w:p>
          <w:p w14:paraId="01562FBD" w14:textId="17560DDF" w:rsidR="0068133D" w:rsidRPr="00197FDE" w:rsidRDefault="0068133D" w:rsidP="0068133D">
            <w:pPr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9–0</w:t>
            </w:r>
            <w:r w:rsidRPr="00F21CC9">
              <w:rPr>
                <w:rFonts w:eastAsia="Times New Roman" w:cs="Calibri"/>
                <w:b/>
                <w:sz w:val="20"/>
                <w:szCs w:val="20"/>
                <w:lang w:eastAsia="en-AU"/>
              </w:rPr>
              <w:t>**</w:t>
            </w:r>
          </w:p>
        </w:tc>
      </w:tr>
      <w:tr w:rsidR="0068133D" w:rsidRPr="005C68EF" w14:paraId="14D6E587" w14:textId="77777777" w:rsidTr="0068133D">
        <w:trPr>
          <w:trHeight w:val="112"/>
        </w:trPr>
        <w:tc>
          <w:tcPr>
            <w:tcW w:w="1560" w:type="dxa"/>
            <w:shd w:val="clear" w:color="auto" w:fill="D9E2F3" w:themeFill="accent1" w:themeFillTint="33"/>
          </w:tcPr>
          <w:p w14:paraId="7FE43363" w14:textId="094D3DB9" w:rsidR="0068133D" w:rsidRDefault="0068133D" w:rsidP="0068133D">
            <w:pPr>
              <w:jc w:val="center"/>
              <w:rPr>
                <w:rFonts w:eastAsia="Times New Roman" w:cs="Calibri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Criteria</w:t>
            </w:r>
          </w:p>
        </w:tc>
        <w:tc>
          <w:tcPr>
            <w:tcW w:w="2693" w:type="dxa"/>
            <w:vMerge/>
          </w:tcPr>
          <w:p w14:paraId="70946375" w14:textId="77777777" w:rsidR="0068133D" w:rsidRPr="00224E15" w:rsidRDefault="0068133D" w:rsidP="00C11D7D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2693" w:type="dxa"/>
            <w:vMerge/>
          </w:tcPr>
          <w:p w14:paraId="07B88182" w14:textId="77777777" w:rsidR="0068133D" w:rsidRPr="00197FDE" w:rsidRDefault="0068133D" w:rsidP="00C11D7D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2694" w:type="dxa"/>
            <w:vMerge/>
          </w:tcPr>
          <w:p w14:paraId="4C4D1165" w14:textId="77777777" w:rsidR="0068133D" w:rsidRPr="00197FDE" w:rsidRDefault="0068133D" w:rsidP="00071E6F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2693" w:type="dxa"/>
            <w:vMerge/>
          </w:tcPr>
          <w:p w14:paraId="43A1403C" w14:textId="77777777" w:rsidR="0068133D" w:rsidRPr="00197FDE" w:rsidRDefault="0068133D" w:rsidP="004530DB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2694" w:type="dxa"/>
            <w:vMerge/>
            <w:shd w:val="clear" w:color="auto" w:fill="9CC2E5" w:themeFill="accent5" w:themeFillTint="99"/>
          </w:tcPr>
          <w:p w14:paraId="1C2A10E5" w14:textId="77777777" w:rsidR="0068133D" w:rsidRPr="00197FDE" w:rsidRDefault="0068133D" w:rsidP="004530DB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</w:tr>
      <w:tr w:rsidR="005C68EF" w:rsidRPr="005C68EF" w14:paraId="03F8D37B" w14:textId="77777777" w:rsidTr="00947691">
        <w:trPr>
          <w:trHeight w:val="1832"/>
        </w:trPr>
        <w:tc>
          <w:tcPr>
            <w:tcW w:w="1560" w:type="dxa"/>
          </w:tcPr>
          <w:p w14:paraId="7DC9624B" w14:textId="0B6D1F55" w:rsidR="000E5723" w:rsidRPr="00F21CC9" w:rsidRDefault="00EC78DB" w:rsidP="008A530B">
            <w:pPr>
              <w:rPr>
                <w:rFonts w:eastAsia="Times New Roman" w:cs="Calibri"/>
                <w:bCs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>D</w:t>
            </w:r>
            <w:r w:rsidRPr="00A3769C">
              <w:rPr>
                <w:rFonts w:eastAsia="Times New Roman" w:cs="Calibri"/>
                <w:b/>
                <w:sz w:val="20"/>
                <w:szCs w:val="20"/>
                <w:lang w:eastAsia="en-AU"/>
              </w:rPr>
              <w:t>emonstrat</w:t>
            </w:r>
            <w:r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ion of </w:t>
            </w:r>
            <w:r w:rsidR="00A3769C" w:rsidRPr="00A3769C">
              <w:rPr>
                <w:rFonts w:eastAsia="Times New Roman" w:cs="Calibri"/>
                <w:b/>
                <w:sz w:val="20"/>
                <w:szCs w:val="20"/>
                <w:lang w:eastAsia="en-AU"/>
              </w:rPr>
              <w:t xml:space="preserve">academic literacy and research methodologies </w:t>
            </w:r>
            <w:r w:rsidR="000E5723" w:rsidRPr="00F21CC9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>(</w:t>
            </w:r>
            <w:r w:rsidR="00051597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>2</w:t>
            </w:r>
            <w:r w:rsidR="000E5723" w:rsidRPr="00F21CC9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>0%)</w:t>
            </w:r>
          </w:p>
          <w:p w14:paraId="1C6C11C4" w14:textId="77777777" w:rsidR="00947691" w:rsidRDefault="00947691" w:rsidP="008A530B">
            <w:pPr>
              <w:rPr>
                <w:rFonts w:eastAsia="Times New Roman" w:cs="Calibri"/>
                <w:bCs/>
                <w:sz w:val="16"/>
                <w:szCs w:val="18"/>
                <w:lang w:eastAsia="en-AU"/>
              </w:rPr>
            </w:pPr>
          </w:p>
          <w:p w14:paraId="0205D66E" w14:textId="77777777" w:rsidR="00947691" w:rsidRDefault="00947691" w:rsidP="008A530B">
            <w:pPr>
              <w:rPr>
                <w:rFonts w:eastAsia="Times New Roman" w:cs="Calibri"/>
                <w:bCs/>
                <w:sz w:val="16"/>
                <w:szCs w:val="18"/>
                <w:lang w:eastAsia="en-AU"/>
              </w:rPr>
            </w:pPr>
          </w:p>
          <w:p w14:paraId="5653953E" w14:textId="77777777" w:rsidR="00947691" w:rsidRDefault="00947691" w:rsidP="008A530B">
            <w:pPr>
              <w:rPr>
                <w:rFonts w:eastAsia="Times New Roman" w:cs="Calibri"/>
                <w:bCs/>
                <w:sz w:val="16"/>
                <w:szCs w:val="18"/>
                <w:lang w:eastAsia="en-AU"/>
              </w:rPr>
            </w:pPr>
          </w:p>
          <w:p w14:paraId="6754C1F5" w14:textId="77777777" w:rsidR="00947691" w:rsidRDefault="00947691" w:rsidP="008A530B">
            <w:pPr>
              <w:rPr>
                <w:rFonts w:eastAsia="Times New Roman" w:cs="Calibri"/>
                <w:bCs/>
                <w:sz w:val="16"/>
                <w:szCs w:val="18"/>
                <w:lang w:eastAsia="en-AU"/>
              </w:rPr>
            </w:pPr>
          </w:p>
          <w:p w14:paraId="0EA4BA75" w14:textId="77777777" w:rsidR="00947691" w:rsidRDefault="00947691" w:rsidP="008A530B">
            <w:pPr>
              <w:rPr>
                <w:rFonts w:eastAsia="Times New Roman" w:cs="Calibri"/>
                <w:bCs/>
                <w:sz w:val="16"/>
                <w:szCs w:val="18"/>
                <w:lang w:eastAsia="en-AU"/>
              </w:rPr>
            </w:pPr>
          </w:p>
          <w:p w14:paraId="55CB7A04" w14:textId="77777777" w:rsidR="00947691" w:rsidRDefault="00947691" w:rsidP="008A530B">
            <w:pPr>
              <w:rPr>
                <w:rFonts w:eastAsia="Times New Roman" w:cs="Calibri"/>
                <w:bCs/>
                <w:sz w:val="16"/>
                <w:szCs w:val="18"/>
                <w:lang w:eastAsia="en-AU"/>
              </w:rPr>
            </w:pPr>
          </w:p>
          <w:p w14:paraId="0CB8DF34" w14:textId="77777777" w:rsidR="00947691" w:rsidRDefault="00947691" w:rsidP="008A530B">
            <w:pPr>
              <w:rPr>
                <w:rFonts w:eastAsia="Times New Roman" w:cs="Calibri"/>
                <w:bCs/>
                <w:sz w:val="16"/>
                <w:szCs w:val="18"/>
                <w:lang w:eastAsia="en-AU"/>
              </w:rPr>
            </w:pPr>
          </w:p>
          <w:p w14:paraId="0FC06F3C" w14:textId="2F169930" w:rsidR="00947691" w:rsidRPr="005C68EF" w:rsidRDefault="00947691" w:rsidP="008A530B">
            <w:pPr>
              <w:rPr>
                <w:rFonts w:eastAsia="Times New Roman" w:cs="Calibri"/>
                <w:b/>
                <w:sz w:val="16"/>
                <w:szCs w:val="18"/>
                <w:lang w:eastAsia="en-AU"/>
              </w:rPr>
            </w:pPr>
          </w:p>
        </w:tc>
        <w:tc>
          <w:tcPr>
            <w:tcW w:w="2693" w:type="dxa"/>
          </w:tcPr>
          <w:p w14:paraId="2B21143D" w14:textId="01DDCF11" w:rsidR="00947691" w:rsidRPr="00F76945" w:rsidRDefault="007A693C" w:rsidP="00C11D7D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>
              <w:rPr>
                <w:rFonts w:eastAsia="Times New Roman" w:cs="Calibri"/>
                <w:sz w:val="19"/>
                <w:szCs w:val="19"/>
                <w:lang w:eastAsia="en-AU"/>
              </w:rPr>
              <w:t>You</w:t>
            </w:r>
            <w:r w:rsidR="009E15EE">
              <w:rPr>
                <w:rFonts w:eastAsia="Times New Roman" w:cs="Calibri"/>
                <w:sz w:val="19"/>
                <w:szCs w:val="19"/>
                <w:lang w:eastAsia="en-AU"/>
              </w:rPr>
              <w:t>r responses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 xml:space="preserve"> d</w:t>
            </w:r>
            <w:r w:rsidR="00C75E1E" w:rsidRPr="00F76945">
              <w:rPr>
                <w:rFonts w:eastAsia="Times New Roman" w:cs="Calibri"/>
                <w:sz w:val="19"/>
                <w:szCs w:val="19"/>
                <w:lang w:eastAsia="en-AU"/>
              </w:rPr>
              <w:t>emonstrate a high level of academic literacy</w:t>
            </w:r>
            <w:r w:rsidR="00781F38">
              <w:rPr>
                <w:rFonts w:eastAsia="Times New Roman" w:cs="Calibri"/>
                <w:sz w:val="19"/>
                <w:szCs w:val="19"/>
                <w:lang w:eastAsia="en-AU"/>
              </w:rPr>
              <w:t xml:space="preserve"> </w:t>
            </w:r>
            <w:r w:rsidR="00517F44">
              <w:rPr>
                <w:rFonts w:eastAsia="Times New Roman" w:cs="Calibri"/>
                <w:sz w:val="19"/>
                <w:szCs w:val="19"/>
                <w:lang w:eastAsia="en-AU"/>
              </w:rPr>
              <w:t xml:space="preserve">expertly </w:t>
            </w:r>
            <w:r w:rsidR="00781F38">
              <w:rPr>
                <w:rFonts w:eastAsia="Times New Roman" w:cs="Calibri"/>
                <w:sz w:val="19"/>
                <w:szCs w:val="19"/>
                <w:lang w:eastAsia="en-AU"/>
              </w:rPr>
              <w:t>linking to</w:t>
            </w:r>
            <w:r w:rsidR="00C75E1E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 thorough</w:t>
            </w:r>
            <w:r w:rsidR="00781F38">
              <w:rPr>
                <w:rFonts w:eastAsia="Times New Roman" w:cs="Calibri"/>
                <w:sz w:val="19"/>
                <w:szCs w:val="19"/>
                <w:lang w:eastAsia="en-AU"/>
              </w:rPr>
              <w:t xml:space="preserve"> and </w:t>
            </w:r>
            <w:r w:rsidR="00C75E1E" w:rsidRPr="00F76945">
              <w:rPr>
                <w:rFonts w:eastAsia="Times New Roman" w:cs="Calibri"/>
                <w:sz w:val="19"/>
                <w:szCs w:val="19"/>
                <w:lang w:eastAsia="en-AU"/>
              </w:rPr>
              <w:t>relevant</w:t>
            </w:r>
            <w:r w:rsidR="00781F38">
              <w:rPr>
                <w:rFonts w:eastAsia="Times New Roman" w:cs="Calibri"/>
                <w:sz w:val="19"/>
                <w:szCs w:val="19"/>
                <w:lang w:eastAsia="en-AU"/>
              </w:rPr>
              <w:t xml:space="preserve"> research</w:t>
            </w:r>
            <w:r w:rsidR="00C75E1E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, </w:t>
            </w:r>
            <w:r w:rsidR="00781F38">
              <w:rPr>
                <w:rFonts w:eastAsia="Times New Roman" w:cs="Calibri"/>
                <w:sz w:val="19"/>
                <w:szCs w:val="19"/>
                <w:lang w:eastAsia="en-AU"/>
              </w:rPr>
              <w:t>which is</w:t>
            </w:r>
            <w:r w:rsidR="00C75E1E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 clearly integrated into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your</w:t>
            </w:r>
            <w:r w:rsidR="00C75E1E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 </w:t>
            </w:r>
            <w:r w:rsidR="009E15EE">
              <w:rPr>
                <w:rFonts w:eastAsia="Times New Roman" w:cs="Calibri"/>
                <w:sz w:val="19"/>
                <w:szCs w:val="19"/>
                <w:lang w:eastAsia="en-AU"/>
              </w:rPr>
              <w:t>arguments</w:t>
            </w:r>
            <w:r w:rsidR="00C75E1E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 xml:space="preserve">Your </w:t>
            </w:r>
            <w:r w:rsidR="006E5F5A">
              <w:rPr>
                <w:rFonts w:eastAsia="Times New Roman" w:cs="Calibri"/>
                <w:sz w:val="19"/>
                <w:szCs w:val="19"/>
                <w:lang w:eastAsia="en-AU"/>
              </w:rPr>
              <w:t>responses also show</w:t>
            </w:r>
            <w:r w:rsidR="00C75E1E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 critical </w:t>
            </w:r>
            <w:r w:rsidR="006E5F5A">
              <w:rPr>
                <w:rFonts w:eastAsia="Times New Roman" w:cs="Calibri"/>
                <w:sz w:val="19"/>
                <w:szCs w:val="19"/>
                <w:lang w:eastAsia="en-AU"/>
              </w:rPr>
              <w:t>engagement with</w:t>
            </w:r>
            <w:r w:rsidR="00A81879">
              <w:rPr>
                <w:rFonts w:eastAsia="Times New Roman" w:cs="Calibri"/>
                <w:sz w:val="19"/>
                <w:szCs w:val="19"/>
                <w:lang w:eastAsia="en-AU"/>
              </w:rPr>
              <w:t xml:space="preserve"> </w:t>
            </w:r>
            <w:proofErr w:type="gramStart"/>
            <w:r w:rsidR="00A81879">
              <w:rPr>
                <w:rFonts w:eastAsia="Times New Roman" w:cs="Calibri"/>
                <w:sz w:val="19"/>
                <w:szCs w:val="19"/>
                <w:lang w:eastAsia="en-AU"/>
              </w:rPr>
              <w:t>sources</w:t>
            </w:r>
            <w:proofErr w:type="gramEnd"/>
            <w:r w:rsidR="00A81879">
              <w:rPr>
                <w:rFonts w:eastAsia="Times New Roman" w:cs="Calibri"/>
                <w:sz w:val="19"/>
                <w:szCs w:val="19"/>
                <w:lang w:eastAsia="en-AU"/>
              </w:rPr>
              <w:t xml:space="preserve"> and y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our r</w:t>
            </w:r>
            <w:r w:rsidR="00C75E1E" w:rsidRPr="00F76945">
              <w:rPr>
                <w:rFonts w:eastAsia="Times New Roman" w:cs="Calibri"/>
                <w:sz w:val="19"/>
                <w:szCs w:val="19"/>
                <w:lang w:eastAsia="en-AU"/>
              </w:rPr>
              <w:t>esearch methodology is well-chosen</w:t>
            </w:r>
            <w:r w:rsidR="00A81879">
              <w:rPr>
                <w:rFonts w:eastAsia="Times New Roman" w:cs="Calibri"/>
                <w:sz w:val="19"/>
                <w:szCs w:val="19"/>
                <w:lang w:eastAsia="en-AU"/>
              </w:rPr>
              <w:t xml:space="preserve"> and</w:t>
            </w:r>
            <w:r w:rsidR="00C75E1E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 clearly explained.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 xml:space="preserve">You </w:t>
            </w:r>
            <w:r w:rsidR="00A81879">
              <w:rPr>
                <w:rFonts w:eastAsia="Times New Roman" w:cs="Calibri"/>
                <w:sz w:val="19"/>
                <w:szCs w:val="19"/>
                <w:lang w:eastAsia="en-AU"/>
              </w:rPr>
              <w:t>demonstrate</w:t>
            </w:r>
            <w:r w:rsidR="00C75E1E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 </w:t>
            </w:r>
            <w:r w:rsidR="00A81879">
              <w:rPr>
                <w:rFonts w:eastAsia="Times New Roman" w:cs="Calibri"/>
                <w:sz w:val="19"/>
                <w:szCs w:val="19"/>
                <w:lang w:eastAsia="en-AU"/>
              </w:rPr>
              <w:t xml:space="preserve">a </w:t>
            </w:r>
            <w:r w:rsidR="00C75E1E" w:rsidRPr="00F76945">
              <w:rPr>
                <w:rFonts w:eastAsia="Times New Roman" w:cs="Calibri"/>
                <w:sz w:val="19"/>
                <w:szCs w:val="19"/>
                <w:lang w:eastAsia="en-AU"/>
              </w:rPr>
              <w:t>strong understanding of academic integrity.</w:t>
            </w:r>
          </w:p>
          <w:p w14:paraId="64781BA6" w14:textId="52812867" w:rsidR="00947691" w:rsidRPr="00F76945" w:rsidRDefault="00947691" w:rsidP="00C11D7D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</w:p>
        </w:tc>
        <w:tc>
          <w:tcPr>
            <w:tcW w:w="2693" w:type="dxa"/>
          </w:tcPr>
          <w:p w14:paraId="6EC99AC0" w14:textId="5A81B2DC" w:rsidR="000E5723" w:rsidRPr="00F76945" w:rsidRDefault="007A693C" w:rsidP="00C11D7D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>
              <w:rPr>
                <w:rFonts w:eastAsia="Times New Roman" w:cs="Calibri"/>
                <w:sz w:val="19"/>
                <w:szCs w:val="19"/>
                <w:lang w:eastAsia="en-AU"/>
              </w:rPr>
              <w:t>You</w:t>
            </w:r>
            <w:r w:rsidR="00A81879">
              <w:rPr>
                <w:rFonts w:eastAsia="Times New Roman" w:cs="Calibri"/>
                <w:sz w:val="19"/>
                <w:szCs w:val="19"/>
                <w:lang w:eastAsia="en-AU"/>
              </w:rPr>
              <w:t>r responses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 xml:space="preserve"> d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emonstrate strong academic literacy </w:t>
            </w:r>
            <w:r w:rsidR="00517F44">
              <w:rPr>
                <w:rFonts w:eastAsia="Times New Roman" w:cs="Calibri"/>
                <w:sz w:val="19"/>
                <w:szCs w:val="19"/>
                <w:lang w:eastAsia="en-AU"/>
              </w:rPr>
              <w:t xml:space="preserve">referencing relevant </w:t>
            </w:r>
            <w:r w:rsidR="0033225D">
              <w:rPr>
                <w:rFonts w:eastAsia="Times New Roman" w:cs="Calibri"/>
                <w:sz w:val="19"/>
                <w:szCs w:val="19"/>
                <w:lang w:eastAsia="en-AU"/>
              </w:rPr>
              <w:t xml:space="preserve">supporting </w:t>
            </w:r>
            <w:r w:rsidR="00517F44">
              <w:rPr>
                <w:rFonts w:eastAsia="Times New Roman" w:cs="Calibri"/>
                <w:sz w:val="19"/>
                <w:szCs w:val="19"/>
                <w:lang w:eastAsia="en-AU"/>
              </w:rPr>
              <w:t>sources</w:t>
            </w:r>
            <w:r w:rsidR="00F16611">
              <w:rPr>
                <w:rFonts w:eastAsia="Times New Roman" w:cs="Calibri"/>
                <w:sz w:val="19"/>
                <w:szCs w:val="19"/>
                <w:lang w:eastAsia="en-AU"/>
              </w:rPr>
              <w:t xml:space="preserve"> which support your ideas well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Your s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ources are mostly critically </w:t>
            </w:r>
            <w:proofErr w:type="gramStart"/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>considered</w:t>
            </w:r>
            <w:proofErr w:type="gramEnd"/>
            <w:r w:rsidR="0033225D">
              <w:rPr>
                <w:rFonts w:eastAsia="Times New Roman" w:cs="Calibri"/>
                <w:sz w:val="19"/>
                <w:szCs w:val="19"/>
                <w:lang w:eastAsia="en-AU"/>
              </w:rPr>
              <w:t xml:space="preserve"> and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 </w:t>
            </w:r>
            <w:r w:rsidR="0033225D">
              <w:rPr>
                <w:rFonts w:eastAsia="Times New Roman" w:cs="Calibri"/>
                <w:sz w:val="19"/>
                <w:szCs w:val="19"/>
                <w:lang w:eastAsia="en-AU"/>
              </w:rPr>
              <w:t>y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our r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esearch methodology is appropriate and clearly </w:t>
            </w:r>
            <w:r w:rsidR="0033225D">
              <w:rPr>
                <w:rFonts w:eastAsia="Times New Roman" w:cs="Calibri"/>
                <w:sz w:val="19"/>
                <w:szCs w:val="19"/>
                <w:lang w:eastAsia="en-AU"/>
              </w:rPr>
              <w:t>explained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. </w:t>
            </w:r>
          </w:p>
        </w:tc>
        <w:tc>
          <w:tcPr>
            <w:tcW w:w="2694" w:type="dxa"/>
          </w:tcPr>
          <w:p w14:paraId="628FC04E" w14:textId="02D35553" w:rsidR="000E5723" w:rsidRPr="00F76945" w:rsidRDefault="007A693C" w:rsidP="00071E6F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>
              <w:rPr>
                <w:rFonts w:eastAsia="Times New Roman" w:cs="Calibri"/>
                <w:sz w:val="19"/>
                <w:szCs w:val="19"/>
                <w:lang w:eastAsia="en-AU"/>
              </w:rPr>
              <w:t>You d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>emonstrate</w:t>
            </w:r>
            <w:r w:rsidR="004945F2">
              <w:rPr>
                <w:rFonts w:eastAsia="Times New Roman" w:cs="Calibri"/>
                <w:sz w:val="19"/>
                <w:szCs w:val="19"/>
                <w:lang w:eastAsia="en-AU"/>
              </w:rPr>
              <w:t xml:space="preserve"> a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 sound academic literacy</w:t>
            </w:r>
            <w:r w:rsidR="00030E0C">
              <w:rPr>
                <w:rFonts w:eastAsia="Times New Roman" w:cs="Calibri"/>
                <w:sz w:val="19"/>
                <w:szCs w:val="19"/>
                <w:lang w:eastAsia="en-AU"/>
              </w:rPr>
              <w:t xml:space="preserve"> with referencing to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 xml:space="preserve"> r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esearch </w:t>
            </w:r>
            <w:r w:rsidR="00A40190">
              <w:rPr>
                <w:rFonts w:eastAsia="Times New Roman" w:cs="Calibri"/>
                <w:sz w:val="19"/>
                <w:szCs w:val="19"/>
                <w:lang w:eastAsia="en-AU"/>
              </w:rPr>
              <w:t>which</w:t>
            </w:r>
            <w:r w:rsidR="00C76868">
              <w:rPr>
                <w:rFonts w:eastAsia="Times New Roman" w:cs="Calibri"/>
                <w:sz w:val="19"/>
                <w:szCs w:val="19"/>
                <w:lang w:eastAsia="en-AU"/>
              </w:rPr>
              <w:t xml:space="preserve"> is</w:t>
            </w:r>
            <w:r w:rsidR="001E723B">
              <w:rPr>
                <w:rFonts w:eastAsia="Times New Roman" w:cs="Calibri"/>
                <w:sz w:val="19"/>
                <w:szCs w:val="19"/>
                <w:lang w:eastAsia="en-AU"/>
              </w:rPr>
              <w:t xml:space="preserve"> 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>integrat</w:t>
            </w:r>
            <w:r w:rsidR="001E723B">
              <w:rPr>
                <w:rFonts w:eastAsia="Times New Roman" w:cs="Calibri"/>
                <w:sz w:val="19"/>
                <w:szCs w:val="19"/>
                <w:lang w:eastAsia="en-AU"/>
              </w:rPr>
              <w:t>e</w:t>
            </w:r>
            <w:r w:rsidR="00C76868">
              <w:rPr>
                <w:rFonts w:eastAsia="Times New Roman" w:cs="Calibri"/>
                <w:sz w:val="19"/>
                <w:szCs w:val="19"/>
                <w:lang w:eastAsia="en-AU"/>
              </w:rPr>
              <w:t>d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 into</w:t>
            </w:r>
            <w:r w:rsidR="001E723B">
              <w:rPr>
                <w:rFonts w:eastAsia="Times New Roman" w:cs="Calibri"/>
                <w:sz w:val="19"/>
                <w:szCs w:val="19"/>
                <w:lang w:eastAsia="en-AU"/>
              </w:rPr>
              <w:t xml:space="preserve"> your analysis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. </w:t>
            </w:r>
            <w:r w:rsidR="001529B6">
              <w:rPr>
                <w:rFonts w:eastAsia="Times New Roman" w:cs="Calibri"/>
                <w:sz w:val="19"/>
                <w:szCs w:val="19"/>
                <w:lang w:eastAsia="en-AU"/>
              </w:rPr>
              <w:t>Your s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>ource use is appropriate but may lack depth in evaluation or</w:t>
            </w:r>
            <w:r w:rsidR="008535C4">
              <w:rPr>
                <w:rFonts w:eastAsia="Times New Roman" w:cs="Calibri"/>
                <w:sz w:val="19"/>
                <w:szCs w:val="19"/>
                <w:lang w:eastAsia="en-AU"/>
              </w:rPr>
              <w:t xml:space="preserve"> convincingly support your arguments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. </w:t>
            </w:r>
            <w:r w:rsidR="001529B6">
              <w:rPr>
                <w:rFonts w:eastAsia="Times New Roman" w:cs="Calibri"/>
                <w:sz w:val="19"/>
                <w:szCs w:val="19"/>
                <w:lang w:eastAsia="en-AU"/>
              </w:rPr>
              <w:t>Your r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esearch methodology is identifiable and </w:t>
            </w:r>
            <w:r w:rsidR="008535C4">
              <w:rPr>
                <w:rFonts w:eastAsia="Times New Roman" w:cs="Calibri"/>
                <w:sz w:val="19"/>
                <w:szCs w:val="19"/>
                <w:lang w:eastAsia="en-AU"/>
              </w:rPr>
              <w:t>demonstrates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 some effectiveness.</w:t>
            </w:r>
          </w:p>
        </w:tc>
        <w:tc>
          <w:tcPr>
            <w:tcW w:w="2693" w:type="dxa"/>
          </w:tcPr>
          <w:p w14:paraId="3FD150D8" w14:textId="03C773F8" w:rsidR="000E5723" w:rsidRPr="00F76945" w:rsidRDefault="001529B6" w:rsidP="004530DB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>
              <w:rPr>
                <w:rFonts w:eastAsia="Times New Roman" w:cs="Calibri"/>
                <w:sz w:val="19"/>
                <w:szCs w:val="19"/>
                <w:lang w:eastAsia="en-AU"/>
              </w:rPr>
              <w:t>You</w:t>
            </w:r>
            <w:r w:rsidR="008535C4">
              <w:rPr>
                <w:rFonts w:eastAsia="Times New Roman" w:cs="Calibri"/>
                <w:sz w:val="19"/>
                <w:szCs w:val="19"/>
                <w:lang w:eastAsia="en-AU"/>
              </w:rPr>
              <w:t>r responses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 xml:space="preserve"> d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emonstrate </w:t>
            </w:r>
            <w:r w:rsidR="004945F2">
              <w:rPr>
                <w:rFonts w:eastAsia="Times New Roman" w:cs="Calibri"/>
                <w:sz w:val="19"/>
                <w:szCs w:val="19"/>
                <w:lang w:eastAsia="en-AU"/>
              </w:rPr>
              <w:t xml:space="preserve">a 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>basic academic literacy</w:t>
            </w:r>
            <w:r w:rsidR="004945F2">
              <w:rPr>
                <w:rFonts w:eastAsia="Times New Roman" w:cs="Calibri"/>
                <w:sz w:val="19"/>
                <w:szCs w:val="19"/>
                <w:lang w:eastAsia="en-AU"/>
              </w:rPr>
              <w:t xml:space="preserve"> with some mentioning of source material.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Your r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esearch is limited or uneven, with some relevant sources but minimal critical engagement. </w:t>
            </w:r>
            <w:r>
              <w:rPr>
                <w:rFonts w:eastAsia="Times New Roman" w:cs="Calibri"/>
                <w:sz w:val="19"/>
                <w:szCs w:val="19"/>
                <w:lang w:eastAsia="en-AU"/>
              </w:rPr>
              <w:t>Your m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 xml:space="preserve">ethodology is present but underdeveloped or </w:t>
            </w:r>
            <w:r w:rsidR="006D3308">
              <w:rPr>
                <w:rFonts w:eastAsia="Times New Roman" w:cs="Calibri"/>
                <w:sz w:val="19"/>
                <w:szCs w:val="19"/>
                <w:lang w:eastAsia="en-AU"/>
              </w:rPr>
              <w:t>not well demonstrated in your answers</w:t>
            </w:r>
            <w:r w:rsidR="008723E3" w:rsidRPr="00F76945">
              <w:rPr>
                <w:rFonts w:eastAsia="Times New Roman" w:cs="Calibri"/>
                <w:sz w:val="19"/>
                <w:szCs w:val="19"/>
                <w:lang w:eastAsia="en-AU"/>
              </w:rPr>
              <w:t>.</w:t>
            </w:r>
          </w:p>
        </w:tc>
        <w:tc>
          <w:tcPr>
            <w:tcW w:w="2694" w:type="dxa"/>
          </w:tcPr>
          <w:p w14:paraId="5C174682" w14:textId="2AD6D64E" w:rsidR="000E5723" w:rsidRPr="00F76945" w:rsidRDefault="00DB2442" w:rsidP="004530DB">
            <w:pPr>
              <w:rPr>
                <w:rFonts w:eastAsia="Times New Roman" w:cs="Calibri"/>
                <w:sz w:val="19"/>
                <w:szCs w:val="19"/>
                <w:lang w:eastAsia="en-AU"/>
              </w:rPr>
            </w:pPr>
            <w:r w:rsidRPr="00DB2442">
              <w:rPr>
                <w:rFonts w:eastAsia="Times New Roman" w:cs="Calibri"/>
                <w:sz w:val="19"/>
                <w:szCs w:val="19"/>
                <w:lang w:eastAsia="en-AU"/>
              </w:rPr>
              <w:t xml:space="preserve">Strengthen your academic </w:t>
            </w:r>
            <w:r w:rsidR="006D3308">
              <w:rPr>
                <w:rFonts w:eastAsia="Times New Roman" w:cs="Calibri"/>
                <w:sz w:val="19"/>
                <w:szCs w:val="19"/>
                <w:lang w:eastAsia="en-AU"/>
              </w:rPr>
              <w:t>literacy</w:t>
            </w:r>
            <w:r w:rsidRPr="00DB2442">
              <w:rPr>
                <w:rFonts w:eastAsia="Times New Roman" w:cs="Calibri"/>
                <w:sz w:val="19"/>
                <w:szCs w:val="19"/>
                <w:lang w:eastAsia="en-AU"/>
              </w:rPr>
              <w:t xml:space="preserve"> by selecting relevant, credible sources and </w:t>
            </w:r>
            <w:r w:rsidR="006D3308">
              <w:rPr>
                <w:rFonts w:eastAsia="Times New Roman" w:cs="Calibri"/>
                <w:sz w:val="19"/>
                <w:szCs w:val="19"/>
                <w:lang w:eastAsia="en-AU"/>
              </w:rPr>
              <w:t xml:space="preserve">speaking </w:t>
            </w:r>
            <w:r w:rsidR="007B0434">
              <w:rPr>
                <w:rFonts w:eastAsia="Times New Roman" w:cs="Calibri"/>
                <w:sz w:val="19"/>
                <w:szCs w:val="19"/>
                <w:lang w:eastAsia="en-AU"/>
              </w:rPr>
              <w:t>about</w:t>
            </w:r>
            <w:r w:rsidR="006D3308">
              <w:rPr>
                <w:rFonts w:eastAsia="Times New Roman" w:cs="Calibri"/>
                <w:sz w:val="19"/>
                <w:szCs w:val="19"/>
                <w:lang w:eastAsia="en-AU"/>
              </w:rPr>
              <w:t xml:space="preserve"> them in your responses</w:t>
            </w:r>
            <w:r w:rsidRPr="00DB2442">
              <w:rPr>
                <w:rFonts w:eastAsia="Times New Roman" w:cs="Calibri"/>
                <w:sz w:val="19"/>
                <w:szCs w:val="19"/>
                <w:lang w:eastAsia="en-AU"/>
              </w:rPr>
              <w:t xml:space="preserve">. </w:t>
            </w:r>
            <w:r w:rsidR="006D3308">
              <w:rPr>
                <w:rFonts w:eastAsia="Times New Roman" w:cs="Calibri"/>
                <w:sz w:val="19"/>
                <w:szCs w:val="19"/>
                <w:lang w:eastAsia="en-AU"/>
              </w:rPr>
              <w:t>Identify and apply</w:t>
            </w:r>
            <w:r w:rsidRPr="00DB2442">
              <w:rPr>
                <w:rFonts w:eastAsia="Times New Roman" w:cs="Calibri"/>
                <w:sz w:val="19"/>
                <w:szCs w:val="19"/>
                <w:lang w:eastAsia="en-AU"/>
              </w:rPr>
              <w:t xml:space="preserve"> a suitable research methodology</w:t>
            </w:r>
            <w:r w:rsidR="002727B7">
              <w:rPr>
                <w:rFonts w:eastAsia="Times New Roman" w:cs="Calibri"/>
                <w:sz w:val="19"/>
                <w:szCs w:val="19"/>
                <w:lang w:eastAsia="en-AU"/>
              </w:rPr>
              <w:t xml:space="preserve"> to</w:t>
            </w:r>
            <w:r w:rsidRPr="00DB2442">
              <w:rPr>
                <w:rFonts w:eastAsia="Times New Roman" w:cs="Calibri"/>
                <w:sz w:val="19"/>
                <w:szCs w:val="19"/>
                <w:lang w:eastAsia="en-AU"/>
              </w:rPr>
              <w:t xml:space="preserve"> demonstrat</w:t>
            </w:r>
            <w:r w:rsidR="002727B7">
              <w:rPr>
                <w:rFonts w:eastAsia="Times New Roman" w:cs="Calibri"/>
                <w:sz w:val="19"/>
                <w:szCs w:val="19"/>
                <w:lang w:eastAsia="en-AU"/>
              </w:rPr>
              <w:t>e</w:t>
            </w:r>
            <w:r w:rsidRPr="00DB2442">
              <w:rPr>
                <w:rFonts w:eastAsia="Times New Roman" w:cs="Calibri"/>
                <w:sz w:val="19"/>
                <w:szCs w:val="19"/>
                <w:lang w:eastAsia="en-AU"/>
              </w:rPr>
              <w:t xml:space="preserve"> a</w:t>
            </w:r>
            <w:r w:rsidR="002727B7">
              <w:rPr>
                <w:rFonts w:eastAsia="Times New Roman" w:cs="Calibri"/>
                <w:sz w:val="19"/>
                <w:szCs w:val="19"/>
                <w:lang w:eastAsia="en-AU"/>
              </w:rPr>
              <w:t xml:space="preserve">n </w:t>
            </w:r>
            <w:r w:rsidRPr="00DB2442">
              <w:rPr>
                <w:rFonts w:eastAsia="Times New Roman" w:cs="Calibri"/>
                <w:sz w:val="19"/>
                <w:szCs w:val="19"/>
                <w:lang w:eastAsia="en-AU"/>
              </w:rPr>
              <w:t>understanding of academic practice</w:t>
            </w:r>
            <w:r w:rsidR="002727B7">
              <w:rPr>
                <w:rFonts w:eastAsia="Times New Roman" w:cs="Calibri"/>
                <w:sz w:val="19"/>
                <w:szCs w:val="19"/>
                <w:lang w:eastAsia="en-AU"/>
              </w:rPr>
              <w:t>s</w:t>
            </w:r>
            <w:r w:rsidR="006D3308">
              <w:rPr>
                <w:rFonts w:eastAsia="Times New Roman" w:cs="Calibri"/>
                <w:sz w:val="19"/>
                <w:szCs w:val="19"/>
                <w:lang w:eastAsia="en-AU"/>
              </w:rPr>
              <w:t xml:space="preserve"> and be able to refer to this in your answers</w:t>
            </w:r>
            <w:r w:rsidR="002727B7">
              <w:rPr>
                <w:rFonts w:eastAsia="Times New Roman" w:cs="Calibri"/>
                <w:sz w:val="19"/>
                <w:szCs w:val="19"/>
                <w:lang w:eastAsia="en-AU"/>
              </w:rPr>
              <w:t>.</w:t>
            </w:r>
          </w:p>
        </w:tc>
      </w:tr>
      <w:bookmarkEnd w:id="0"/>
    </w:tbl>
    <w:p w14:paraId="22FC25F5" w14:textId="0CDC725E" w:rsidR="00FD6864" w:rsidRPr="005C68EF" w:rsidRDefault="00FD6864" w:rsidP="002A1677">
      <w:pPr>
        <w:spacing w:after="0" w:line="240" w:lineRule="auto"/>
        <w:rPr>
          <w:sz w:val="18"/>
        </w:rPr>
      </w:pPr>
    </w:p>
    <w:sectPr w:rsidR="00FD6864" w:rsidRPr="005C68EF" w:rsidSect="00733344">
      <w:headerReference w:type="default" r:id="rId11"/>
      <w:footerReference w:type="default" r:id="rId12"/>
      <w:pgSz w:w="16838" w:h="11906" w:orient="landscape"/>
      <w:pgMar w:top="993" w:right="1440" w:bottom="1135" w:left="1440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6B85" w14:textId="77777777" w:rsidR="00BA79C8" w:rsidRDefault="00BA79C8" w:rsidP="00CF1134">
      <w:pPr>
        <w:spacing w:after="0" w:line="240" w:lineRule="auto"/>
      </w:pPr>
      <w:r>
        <w:separator/>
      </w:r>
    </w:p>
  </w:endnote>
  <w:endnote w:type="continuationSeparator" w:id="0">
    <w:p w14:paraId="63CD604D" w14:textId="77777777" w:rsidR="00BA79C8" w:rsidRDefault="00BA79C8" w:rsidP="00CF1134">
      <w:pPr>
        <w:spacing w:after="0" w:line="240" w:lineRule="auto"/>
      </w:pPr>
      <w:r>
        <w:continuationSeparator/>
      </w:r>
    </w:p>
  </w:endnote>
  <w:endnote w:type="continuationNotice" w:id="1">
    <w:p w14:paraId="318EE98F" w14:textId="77777777" w:rsidR="00BA79C8" w:rsidRDefault="00BA79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EE" w14:textId="77777777" w:rsidR="000A74AE" w:rsidRPr="000A74AE" w:rsidRDefault="000A74AE" w:rsidP="00A268AA">
    <w:pPr>
      <w:pStyle w:val="Footer"/>
      <w:ind w:left="-426"/>
      <w:rPr>
        <w:sz w:val="16"/>
      </w:rPr>
    </w:pPr>
    <w:r w:rsidRPr="000A74AE">
      <w:rPr>
        <w:sz w:val="16"/>
      </w:rPr>
      <w:t>*Where there is a range of marks possible, it is at the marker’s discretion as to how well the response fits the descriptor and what grade is allocated.</w:t>
    </w:r>
  </w:p>
  <w:p w14:paraId="4DADDC48" w14:textId="66C015F0" w:rsidR="000A74AE" w:rsidRPr="000A74AE" w:rsidRDefault="000A74AE" w:rsidP="00A268AA">
    <w:pPr>
      <w:pStyle w:val="Footer"/>
      <w:ind w:left="-426"/>
    </w:pPr>
    <w:r w:rsidRPr="000A74AE">
      <w:rPr>
        <w:sz w:val="16"/>
      </w:rPr>
      <w:t xml:space="preserve">**For </w:t>
    </w:r>
    <w:r w:rsidR="007542C9">
      <w:rPr>
        <w:sz w:val="16"/>
      </w:rPr>
      <w:t>‘Needs</w:t>
    </w:r>
    <w:r w:rsidRPr="000A74AE">
      <w:rPr>
        <w:sz w:val="16"/>
      </w:rPr>
      <w:t xml:space="preserve"> </w:t>
    </w:r>
    <w:r w:rsidR="007542C9">
      <w:rPr>
        <w:sz w:val="16"/>
      </w:rPr>
      <w:t>improvement’</w:t>
    </w:r>
    <w:r w:rsidRPr="000A74AE">
      <w:rPr>
        <w:sz w:val="16"/>
      </w:rPr>
      <w:t xml:space="preserve"> grades with wider mark ranges, marks may be allocated at 3 levels: 1)  marks close to pass, borderline work; 2) a number of marks away from a Pass, clearly not satisfactory, issues in a range of facets of any unsatisfactory criterion; and 3) major issues evident, </w:t>
    </w:r>
    <w:r w:rsidR="00F57555">
      <w:rPr>
        <w:sz w:val="16"/>
      </w:rPr>
      <w:t xml:space="preserve">close to 0 </w:t>
    </w:r>
    <w:r w:rsidRPr="000A74AE">
      <w:rPr>
        <w:sz w:val="16"/>
      </w:rPr>
      <w:t>marks, major structural / content issues; clear evidence of inappropriate practice, e.g. plagiarism, may result in a zero grade.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7896" w14:textId="77777777" w:rsidR="00BA79C8" w:rsidRDefault="00BA79C8" w:rsidP="00CF1134">
      <w:pPr>
        <w:spacing w:after="0" w:line="240" w:lineRule="auto"/>
      </w:pPr>
      <w:r>
        <w:separator/>
      </w:r>
    </w:p>
  </w:footnote>
  <w:footnote w:type="continuationSeparator" w:id="0">
    <w:p w14:paraId="0F2E0205" w14:textId="77777777" w:rsidR="00BA79C8" w:rsidRDefault="00BA79C8" w:rsidP="00CF1134">
      <w:pPr>
        <w:spacing w:after="0" w:line="240" w:lineRule="auto"/>
      </w:pPr>
      <w:r>
        <w:continuationSeparator/>
      </w:r>
    </w:p>
  </w:footnote>
  <w:footnote w:type="continuationNotice" w:id="1">
    <w:p w14:paraId="4E10EEA4" w14:textId="77777777" w:rsidR="00BA79C8" w:rsidRDefault="00BA79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E55D" w14:textId="04196FE2" w:rsidR="00CF1134" w:rsidRPr="00585324" w:rsidRDefault="15776BA5" w:rsidP="15776BA5">
    <w:pPr>
      <w:pStyle w:val="Footer"/>
      <w:tabs>
        <w:tab w:val="clear" w:pos="4513"/>
        <w:tab w:val="clear" w:pos="9026"/>
      </w:tabs>
      <w:ind w:left="-426" w:right="-501"/>
      <w:rPr>
        <w:sz w:val="20"/>
        <w:szCs w:val="20"/>
      </w:rPr>
    </w:pPr>
    <w:r w:rsidRPr="15776BA5">
      <w:rPr>
        <w:sz w:val="20"/>
        <w:szCs w:val="20"/>
      </w:rPr>
      <w:t>A</w:t>
    </w:r>
    <w:r w:rsidR="009153CF">
      <w:rPr>
        <w:sz w:val="20"/>
        <w:szCs w:val="20"/>
      </w:rPr>
      <w:t>RT</w:t>
    </w:r>
    <w:r w:rsidRPr="15776BA5">
      <w:rPr>
        <w:sz w:val="20"/>
        <w:szCs w:val="20"/>
      </w:rPr>
      <w:t>111</w:t>
    </w:r>
    <w:r w:rsidR="008E7E42">
      <w:rPr>
        <w:sz w:val="20"/>
        <w:szCs w:val="20"/>
      </w:rPr>
      <w:t>0</w:t>
    </w:r>
    <w:r w:rsidRPr="15776BA5">
      <w:rPr>
        <w:sz w:val="20"/>
        <w:szCs w:val="20"/>
      </w:rPr>
      <w:t xml:space="preserve">1 </w:t>
    </w:r>
    <w:r w:rsidR="008E7E42">
      <w:rPr>
        <w:sz w:val="20"/>
        <w:szCs w:val="20"/>
      </w:rPr>
      <w:t>History of Art</w:t>
    </w:r>
    <w:r w:rsidR="00C12D1E">
      <w:rPr>
        <w:sz w:val="20"/>
        <w:szCs w:val="20"/>
      </w:rPr>
      <w:t xml:space="preserve"> </w:t>
    </w:r>
    <w:r w:rsidR="008E7E42">
      <w:rPr>
        <w:sz w:val="20"/>
        <w:szCs w:val="20"/>
      </w:rPr>
      <w:t xml:space="preserve">(Undergrad Level 1) </w:t>
    </w:r>
    <w:r w:rsidR="00C12D1E">
      <w:rPr>
        <w:sz w:val="20"/>
        <w:szCs w:val="20"/>
      </w:rPr>
      <w:t>–</w:t>
    </w:r>
    <w:r w:rsidRPr="15776BA5">
      <w:rPr>
        <w:sz w:val="20"/>
        <w:szCs w:val="20"/>
      </w:rPr>
      <w:t xml:space="preserve"> </w:t>
    </w:r>
    <w:r w:rsidR="00C12D1E">
      <w:rPr>
        <w:sz w:val="20"/>
        <w:szCs w:val="20"/>
      </w:rPr>
      <w:t>Interactive Oral Assessment</w:t>
    </w:r>
    <w:r w:rsidRPr="15776BA5">
      <w:rPr>
        <w:sz w:val="20"/>
        <w:szCs w:val="20"/>
      </w:rPr>
      <w:t xml:space="preserve"> </w:t>
    </w:r>
    <w:r w:rsidR="00C12D1E">
      <w:rPr>
        <w:sz w:val="20"/>
        <w:szCs w:val="20"/>
      </w:rPr>
      <w:t>r</w:t>
    </w:r>
    <w:r w:rsidRPr="15776BA5">
      <w:rPr>
        <w:sz w:val="20"/>
        <w:szCs w:val="20"/>
      </w:rPr>
      <w:t>ubric</w:t>
    </w:r>
    <w:r w:rsidR="00CF1134">
      <w:tab/>
    </w:r>
    <w:r w:rsidR="00CF1134">
      <w:tab/>
    </w:r>
    <w:r w:rsidR="00CF1134">
      <w:tab/>
    </w:r>
    <w:r w:rsidR="00CF1134">
      <w:tab/>
    </w:r>
    <w:r w:rsidR="00CF1134">
      <w:tab/>
    </w:r>
    <w:r w:rsidR="00CF113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87949"/>
    <w:multiLevelType w:val="hybridMultilevel"/>
    <w:tmpl w:val="7188F4C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24321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64"/>
    <w:rsid w:val="0000169B"/>
    <w:rsid w:val="00002998"/>
    <w:rsid w:val="00003F20"/>
    <w:rsid w:val="00007425"/>
    <w:rsid w:val="00014773"/>
    <w:rsid w:val="00015868"/>
    <w:rsid w:val="000217A4"/>
    <w:rsid w:val="000228DD"/>
    <w:rsid w:val="00030E0C"/>
    <w:rsid w:val="00031848"/>
    <w:rsid w:val="00037A14"/>
    <w:rsid w:val="00040AFF"/>
    <w:rsid w:val="00042346"/>
    <w:rsid w:val="00042A35"/>
    <w:rsid w:val="00042A9A"/>
    <w:rsid w:val="00044389"/>
    <w:rsid w:val="000444E4"/>
    <w:rsid w:val="00051597"/>
    <w:rsid w:val="000544DF"/>
    <w:rsid w:val="00060401"/>
    <w:rsid w:val="00066471"/>
    <w:rsid w:val="0006793A"/>
    <w:rsid w:val="00071E6F"/>
    <w:rsid w:val="00074A26"/>
    <w:rsid w:val="00076496"/>
    <w:rsid w:val="00081476"/>
    <w:rsid w:val="00090005"/>
    <w:rsid w:val="000915EB"/>
    <w:rsid w:val="00093F3C"/>
    <w:rsid w:val="00095797"/>
    <w:rsid w:val="00097973"/>
    <w:rsid w:val="000A0D51"/>
    <w:rsid w:val="000A59C1"/>
    <w:rsid w:val="000A74AE"/>
    <w:rsid w:val="000B2D7D"/>
    <w:rsid w:val="000C40C5"/>
    <w:rsid w:val="000C46B8"/>
    <w:rsid w:val="000D2FD1"/>
    <w:rsid w:val="000E2174"/>
    <w:rsid w:val="000E5564"/>
    <w:rsid w:val="000E5723"/>
    <w:rsid w:val="000F230B"/>
    <w:rsid w:val="00101B0A"/>
    <w:rsid w:val="00105DA0"/>
    <w:rsid w:val="00115894"/>
    <w:rsid w:val="00117E64"/>
    <w:rsid w:val="00120BFA"/>
    <w:rsid w:val="00123572"/>
    <w:rsid w:val="0012630A"/>
    <w:rsid w:val="00130443"/>
    <w:rsid w:val="00135870"/>
    <w:rsid w:val="001467C4"/>
    <w:rsid w:val="001518BE"/>
    <w:rsid w:val="00151DA2"/>
    <w:rsid w:val="00151EC0"/>
    <w:rsid w:val="001529B6"/>
    <w:rsid w:val="001633A8"/>
    <w:rsid w:val="00164E65"/>
    <w:rsid w:val="00172111"/>
    <w:rsid w:val="0017288D"/>
    <w:rsid w:val="001734B0"/>
    <w:rsid w:val="00197FDE"/>
    <w:rsid w:val="001A3611"/>
    <w:rsid w:val="001A3C25"/>
    <w:rsid w:val="001B73F0"/>
    <w:rsid w:val="001B7841"/>
    <w:rsid w:val="001C69A1"/>
    <w:rsid w:val="001D1DCF"/>
    <w:rsid w:val="001D3EC2"/>
    <w:rsid w:val="001E69E8"/>
    <w:rsid w:val="001E723B"/>
    <w:rsid w:val="001F0935"/>
    <w:rsid w:val="001F1124"/>
    <w:rsid w:val="001F2CD4"/>
    <w:rsid w:val="001F3F61"/>
    <w:rsid w:val="002017E7"/>
    <w:rsid w:val="00203F91"/>
    <w:rsid w:val="002050BF"/>
    <w:rsid w:val="00205A52"/>
    <w:rsid w:val="00213E51"/>
    <w:rsid w:val="00214E4D"/>
    <w:rsid w:val="002209EE"/>
    <w:rsid w:val="002232DD"/>
    <w:rsid w:val="00223C41"/>
    <w:rsid w:val="002249AB"/>
    <w:rsid w:val="00224E15"/>
    <w:rsid w:val="00237AF1"/>
    <w:rsid w:val="0024033C"/>
    <w:rsid w:val="00243B66"/>
    <w:rsid w:val="0024692B"/>
    <w:rsid w:val="00251F27"/>
    <w:rsid w:val="002537E3"/>
    <w:rsid w:val="00254BF7"/>
    <w:rsid w:val="00267888"/>
    <w:rsid w:val="00271E29"/>
    <w:rsid w:val="002727B7"/>
    <w:rsid w:val="00273ADB"/>
    <w:rsid w:val="002852BD"/>
    <w:rsid w:val="00287CF3"/>
    <w:rsid w:val="00292497"/>
    <w:rsid w:val="002944EA"/>
    <w:rsid w:val="00295DFC"/>
    <w:rsid w:val="002A1677"/>
    <w:rsid w:val="002A66BF"/>
    <w:rsid w:val="002B7CA9"/>
    <w:rsid w:val="002C2F73"/>
    <w:rsid w:val="002C3AD6"/>
    <w:rsid w:val="002C3F36"/>
    <w:rsid w:val="002C472D"/>
    <w:rsid w:val="002C49A2"/>
    <w:rsid w:val="002C53E7"/>
    <w:rsid w:val="002C56A5"/>
    <w:rsid w:val="002D42C2"/>
    <w:rsid w:val="002D651B"/>
    <w:rsid w:val="002D6AAE"/>
    <w:rsid w:val="002E5F23"/>
    <w:rsid w:val="002F3FD6"/>
    <w:rsid w:val="003020ED"/>
    <w:rsid w:val="00304BA2"/>
    <w:rsid w:val="00311BA2"/>
    <w:rsid w:val="00313F6B"/>
    <w:rsid w:val="00314965"/>
    <w:rsid w:val="003151BA"/>
    <w:rsid w:val="0031752D"/>
    <w:rsid w:val="00317C33"/>
    <w:rsid w:val="00330389"/>
    <w:rsid w:val="0033225D"/>
    <w:rsid w:val="00333C29"/>
    <w:rsid w:val="00334451"/>
    <w:rsid w:val="00337047"/>
    <w:rsid w:val="00337AEA"/>
    <w:rsid w:val="00345B00"/>
    <w:rsid w:val="00350194"/>
    <w:rsid w:val="00360C51"/>
    <w:rsid w:val="00361FFD"/>
    <w:rsid w:val="003718D9"/>
    <w:rsid w:val="00371A17"/>
    <w:rsid w:val="00374CE1"/>
    <w:rsid w:val="00377039"/>
    <w:rsid w:val="003823DD"/>
    <w:rsid w:val="003B4278"/>
    <w:rsid w:val="003B70C6"/>
    <w:rsid w:val="003C4DF7"/>
    <w:rsid w:val="003D0A2E"/>
    <w:rsid w:val="003D36C6"/>
    <w:rsid w:val="003D4FAC"/>
    <w:rsid w:val="003E099F"/>
    <w:rsid w:val="003E1B96"/>
    <w:rsid w:val="003F092E"/>
    <w:rsid w:val="003F504E"/>
    <w:rsid w:val="00404318"/>
    <w:rsid w:val="0040484F"/>
    <w:rsid w:val="00413236"/>
    <w:rsid w:val="00414685"/>
    <w:rsid w:val="00416529"/>
    <w:rsid w:val="00420105"/>
    <w:rsid w:val="004223FD"/>
    <w:rsid w:val="00427A22"/>
    <w:rsid w:val="00427E8E"/>
    <w:rsid w:val="00433123"/>
    <w:rsid w:val="00435AC4"/>
    <w:rsid w:val="00435D3B"/>
    <w:rsid w:val="00446591"/>
    <w:rsid w:val="00446B79"/>
    <w:rsid w:val="004530DB"/>
    <w:rsid w:val="00455C39"/>
    <w:rsid w:val="004661D2"/>
    <w:rsid w:val="0047148A"/>
    <w:rsid w:val="00475366"/>
    <w:rsid w:val="00476F48"/>
    <w:rsid w:val="004813A3"/>
    <w:rsid w:val="004820BE"/>
    <w:rsid w:val="004930C0"/>
    <w:rsid w:val="004945F2"/>
    <w:rsid w:val="004A2B0D"/>
    <w:rsid w:val="004B3641"/>
    <w:rsid w:val="004B658F"/>
    <w:rsid w:val="004B725A"/>
    <w:rsid w:val="004C2726"/>
    <w:rsid w:val="004D04E5"/>
    <w:rsid w:val="004D398F"/>
    <w:rsid w:val="004E397A"/>
    <w:rsid w:val="004E4118"/>
    <w:rsid w:val="004E5D33"/>
    <w:rsid w:val="0050378F"/>
    <w:rsid w:val="0050621B"/>
    <w:rsid w:val="00507266"/>
    <w:rsid w:val="00516724"/>
    <w:rsid w:val="00517F44"/>
    <w:rsid w:val="00521350"/>
    <w:rsid w:val="005223E2"/>
    <w:rsid w:val="00523C00"/>
    <w:rsid w:val="005247DC"/>
    <w:rsid w:val="005249ED"/>
    <w:rsid w:val="00530550"/>
    <w:rsid w:val="00533E8C"/>
    <w:rsid w:val="00540163"/>
    <w:rsid w:val="00540B9D"/>
    <w:rsid w:val="00541F04"/>
    <w:rsid w:val="0054248B"/>
    <w:rsid w:val="00547116"/>
    <w:rsid w:val="00550EA1"/>
    <w:rsid w:val="005528FE"/>
    <w:rsid w:val="0055392D"/>
    <w:rsid w:val="00556B54"/>
    <w:rsid w:val="0056290D"/>
    <w:rsid w:val="005644D8"/>
    <w:rsid w:val="00572D46"/>
    <w:rsid w:val="00575A82"/>
    <w:rsid w:val="0058288A"/>
    <w:rsid w:val="0058448C"/>
    <w:rsid w:val="00585324"/>
    <w:rsid w:val="00586ACC"/>
    <w:rsid w:val="005902E0"/>
    <w:rsid w:val="00590924"/>
    <w:rsid w:val="0059406A"/>
    <w:rsid w:val="00596F3E"/>
    <w:rsid w:val="00597048"/>
    <w:rsid w:val="005978F4"/>
    <w:rsid w:val="005A2716"/>
    <w:rsid w:val="005A3646"/>
    <w:rsid w:val="005A3E30"/>
    <w:rsid w:val="005B166B"/>
    <w:rsid w:val="005B65B1"/>
    <w:rsid w:val="005C0E13"/>
    <w:rsid w:val="005C2E06"/>
    <w:rsid w:val="005C68EF"/>
    <w:rsid w:val="005D24C7"/>
    <w:rsid w:val="005D2FCD"/>
    <w:rsid w:val="005D3DC3"/>
    <w:rsid w:val="005E1C75"/>
    <w:rsid w:val="005E39FF"/>
    <w:rsid w:val="005E501E"/>
    <w:rsid w:val="005E5910"/>
    <w:rsid w:val="005F06D8"/>
    <w:rsid w:val="005F2157"/>
    <w:rsid w:val="005F50BF"/>
    <w:rsid w:val="005F6E38"/>
    <w:rsid w:val="00613323"/>
    <w:rsid w:val="00621CB7"/>
    <w:rsid w:val="006249A9"/>
    <w:rsid w:val="00625961"/>
    <w:rsid w:val="00630661"/>
    <w:rsid w:val="006306DE"/>
    <w:rsid w:val="006338FF"/>
    <w:rsid w:val="00645C0D"/>
    <w:rsid w:val="00651908"/>
    <w:rsid w:val="00652CA4"/>
    <w:rsid w:val="0065596B"/>
    <w:rsid w:val="006603A5"/>
    <w:rsid w:val="00660CA7"/>
    <w:rsid w:val="00662ABE"/>
    <w:rsid w:val="0066305D"/>
    <w:rsid w:val="00666056"/>
    <w:rsid w:val="006706C0"/>
    <w:rsid w:val="00674830"/>
    <w:rsid w:val="0068133D"/>
    <w:rsid w:val="00683148"/>
    <w:rsid w:val="00684901"/>
    <w:rsid w:val="00685BFB"/>
    <w:rsid w:val="00693BCA"/>
    <w:rsid w:val="00693D8F"/>
    <w:rsid w:val="00696D6B"/>
    <w:rsid w:val="006A689C"/>
    <w:rsid w:val="006B00F6"/>
    <w:rsid w:val="006B05E5"/>
    <w:rsid w:val="006B1902"/>
    <w:rsid w:val="006B4D50"/>
    <w:rsid w:val="006C0018"/>
    <w:rsid w:val="006C344E"/>
    <w:rsid w:val="006D3308"/>
    <w:rsid w:val="006D4497"/>
    <w:rsid w:val="006D75A5"/>
    <w:rsid w:val="006D7FDB"/>
    <w:rsid w:val="006E09B4"/>
    <w:rsid w:val="006E2172"/>
    <w:rsid w:val="006E3C04"/>
    <w:rsid w:val="006E5DA3"/>
    <w:rsid w:val="006E5F5A"/>
    <w:rsid w:val="007035F6"/>
    <w:rsid w:val="00703DEB"/>
    <w:rsid w:val="0071141E"/>
    <w:rsid w:val="00715F34"/>
    <w:rsid w:val="00733344"/>
    <w:rsid w:val="0073408F"/>
    <w:rsid w:val="007356C4"/>
    <w:rsid w:val="00740331"/>
    <w:rsid w:val="00742BFF"/>
    <w:rsid w:val="007436A3"/>
    <w:rsid w:val="00743D80"/>
    <w:rsid w:val="007463E0"/>
    <w:rsid w:val="007542C9"/>
    <w:rsid w:val="00755265"/>
    <w:rsid w:val="00764FE3"/>
    <w:rsid w:val="00765274"/>
    <w:rsid w:val="00765694"/>
    <w:rsid w:val="00772F68"/>
    <w:rsid w:val="007742B2"/>
    <w:rsid w:val="00781F38"/>
    <w:rsid w:val="00783746"/>
    <w:rsid w:val="0078720B"/>
    <w:rsid w:val="0079316C"/>
    <w:rsid w:val="007A1C43"/>
    <w:rsid w:val="007A1E2F"/>
    <w:rsid w:val="007A31E2"/>
    <w:rsid w:val="007A693C"/>
    <w:rsid w:val="007B0434"/>
    <w:rsid w:val="007C0700"/>
    <w:rsid w:val="007C7168"/>
    <w:rsid w:val="007C7AF4"/>
    <w:rsid w:val="007D3123"/>
    <w:rsid w:val="007D5CD3"/>
    <w:rsid w:val="007D7232"/>
    <w:rsid w:val="007D794F"/>
    <w:rsid w:val="007E3B57"/>
    <w:rsid w:val="007F431A"/>
    <w:rsid w:val="007F4934"/>
    <w:rsid w:val="007F6BA8"/>
    <w:rsid w:val="0080060F"/>
    <w:rsid w:val="00800718"/>
    <w:rsid w:val="008016AE"/>
    <w:rsid w:val="00802648"/>
    <w:rsid w:val="00802978"/>
    <w:rsid w:val="00803792"/>
    <w:rsid w:val="0080417D"/>
    <w:rsid w:val="00817CEB"/>
    <w:rsid w:val="008278E4"/>
    <w:rsid w:val="00831F8F"/>
    <w:rsid w:val="008337EC"/>
    <w:rsid w:val="00833855"/>
    <w:rsid w:val="008535C4"/>
    <w:rsid w:val="00860B01"/>
    <w:rsid w:val="00860E6C"/>
    <w:rsid w:val="008622B5"/>
    <w:rsid w:val="008635DE"/>
    <w:rsid w:val="00863693"/>
    <w:rsid w:val="0086629B"/>
    <w:rsid w:val="00870F7A"/>
    <w:rsid w:val="00871B09"/>
    <w:rsid w:val="00872159"/>
    <w:rsid w:val="008723E3"/>
    <w:rsid w:val="00873457"/>
    <w:rsid w:val="00873ADB"/>
    <w:rsid w:val="00874AF1"/>
    <w:rsid w:val="00874C03"/>
    <w:rsid w:val="00876176"/>
    <w:rsid w:val="00880873"/>
    <w:rsid w:val="00883D71"/>
    <w:rsid w:val="00885B92"/>
    <w:rsid w:val="0089113A"/>
    <w:rsid w:val="00893D8F"/>
    <w:rsid w:val="00897B27"/>
    <w:rsid w:val="008A530B"/>
    <w:rsid w:val="008B1C96"/>
    <w:rsid w:val="008B3506"/>
    <w:rsid w:val="008D2B00"/>
    <w:rsid w:val="008D4CC3"/>
    <w:rsid w:val="008D6268"/>
    <w:rsid w:val="008D6C9C"/>
    <w:rsid w:val="008D7996"/>
    <w:rsid w:val="008E1B12"/>
    <w:rsid w:val="008E3029"/>
    <w:rsid w:val="008E4F55"/>
    <w:rsid w:val="008E5438"/>
    <w:rsid w:val="008E7E42"/>
    <w:rsid w:val="008F6491"/>
    <w:rsid w:val="008F7DAE"/>
    <w:rsid w:val="009005FF"/>
    <w:rsid w:val="009018DF"/>
    <w:rsid w:val="00902961"/>
    <w:rsid w:val="00912B2F"/>
    <w:rsid w:val="00914FED"/>
    <w:rsid w:val="009153CF"/>
    <w:rsid w:val="0091633A"/>
    <w:rsid w:val="00922D97"/>
    <w:rsid w:val="00923429"/>
    <w:rsid w:val="0092376E"/>
    <w:rsid w:val="009240E5"/>
    <w:rsid w:val="00927798"/>
    <w:rsid w:val="00930C89"/>
    <w:rsid w:val="00931891"/>
    <w:rsid w:val="009318AA"/>
    <w:rsid w:val="00932DF3"/>
    <w:rsid w:val="00935537"/>
    <w:rsid w:val="00941667"/>
    <w:rsid w:val="00947691"/>
    <w:rsid w:val="00952ACC"/>
    <w:rsid w:val="00954847"/>
    <w:rsid w:val="00957AF2"/>
    <w:rsid w:val="00960136"/>
    <w:rsid w:val="00960179"/>
    <w:rsid w:val="0096671D"/>
    <w:rsid w:val="00967058"/>
    <w:rsid w:val="00975558"/>
    <w:rsid w:val="00977C17"/>
    <w:rsid w:val="00990BE3"/>
    <w:rsid w:val="00990E20"/>
    <w:rsid w:val="00990FFC"/>
    <w:rsid w:val="009926A9"/>
    <w:rsid w:val="00993CCD"/>
    <w:rsid w:val="009A11DB"/>
    <w:rsid w:val="009A63D1"/>
    <w:rsid w:val="009A7079"/>
    <w:rsid w:val="009B07F3"/>
    <w:rsid w:val="009B1324"/>
    <w:rsid w:val="009C0496"/>
    <w:rsid w:val="009C5905"/>
    <w:rsid w:val="009D1415"/>
    <w:rsid w:val="009D2293"/>
    <w:rsid w:val="009D2B14"/>
    <w:rsid w:val="009E15EE"/>
    <w:rsid w:val="009E3F79"/>
    <w:rsid w:val="009E4635"/>
    <w:rsid w:val="009E641B"/>
    <w:rsid w:val="009E7450"/>
    <w:rsid w:val="009F02B6"/>
    <w:rsid w:val="009F42A4"/>
    <w:rsid w:val="00A00AE7"/>
    <w:rsid w:val="00A00C2D"/>
    <w:rsid w:val="00A01D11"/>
    <w:rsid w:val="00A1230E"/>
    <w:rsid w:val="00A230B1"/>
    <w:rsid w:val="00A24797"/>
    <w:rsid w:val="00A268AA"/>
    <w:rsid w:val="00A27A7F"/>
    <w:rsid w:val="00A32B4F"/>
    <w:rsid w:val="00A3769C"/>
    <w:rsid w:val="00A40190"/>
    <w:rsid w:val="00A45325"/>
    <w:rsid w:val="00A46D1F"/>
    <w:rsid w:val="00A512C1"/>
    <w:rsid w:val="00A6160A"/>
    <w:rsid w:val="00A627F4"/>
    <w:rsid w:val="00A72406"/>
    <w:rsid w:val="00A76E82"/>
    <w:rsid w:val="00A81879"/>
    <w:rsid w:val="00A829D1"/>
    <w:rsid w:val="00A85BCF"/>
    <w:rsid w:val="00A91FEE"/>
    <w:rsid w:val="00A95675"/>
    <w:rsid w:val="00AA061D"/>
    <w:rsid w:val="00AA3182"/>
    <w:rsid w:val="00AB4B23"/>
    <w:rsid w:val="00AB5A4B"/>
    <w:rsid w:val="00AD06FF"/>
    <w:rsid w:val="00AD1711"/>
    <w:rsid w:val="00AD3C02"/>
    <w:rsid w:val="00AD52A1"/>
    <w:rsid w:val="00AE2903"/>
    <w:rsid w:val="00AF0279"/>
    <w:rsid w:val="00AF28DA"/>
    <w:rsid w:val="00AF664B"/>
    <w:rsid w:val="00B02216"/>
    <w:rsid w:val="00B028CF"/>
    <w:rsid w:val="00B02AE1"/>
    <w:rsid w:val="00B05A10"/>
    <w:rsid w:val="00B070D9"/>
    <w:rsid w:val="00B15C50"/>
    <w:rsid w:val="00B25F95"/>
    <w:rsid w:val="00B34B64"/>
    <w:rsid w:val="00B36FFF"/>
    <w:rsid w:val="00B37554"/>
    <w:rsid w:val="00B40BB9"/>
    <w:rsid w:val="00B44E6E"/>
    <w:rsid w:val="00B458F6"/>
    <w:rsid w:val="00B5108B"/>
    <w:rsid w:val="00B51A00"/>
    <w:rsid w:val="00B530B2"/>
    <w:rsid w:val="00B550EF"/>
    <w:rsid w:val="00B67B80"/>
    <w:rsid w:val="00B70B10"/>
    <w:rsid w:val="00B723C4"/>
    <w:rsid w:val="00B869F1"/>
    <w:rsid w:val="00B86A09"/>
    <w:rsid w:val="00B9489A"/>
    <w:rsid w:val="00B94F79"/>
    <w:rsid w:val="00B95308"/>
    <w:rsid w:val="00B954CC"/>
    <w:rsid w:val="00BA4B28"/>
    <w:rsid w:val="00BA6633"/>
    <w:rsid w:val="00BA79C8"/>
    <w:rsid w:val="00BB0999"/>
    <w:rsid w:val="00BB1312"/>
    <w:rsid w:val="00BB3A37"/>
    <w:rsid w:val="00BB7E02"/>
    <w:rsid w:val="00BC1495"/>
    <w:rsid w:val="00BC5C00"/>
    <w:rsid w:val="00BC6EE4"/>
    <w:rsid w:val="00BC7E1B"/>
    <w:rsid w:val="00BD432D"/>
    <w:rsid w:val="00BD52B2"/>
    <w:rsid w:val="00BE0D67"/>
    <w:rsid w:val="00BE5BAD"/>
    <w:rsid w:val="00BE5E0E"/>
    <w:rsid w:val="00BE70CB"/>
    <w:rsid w:val="00BF069C"/>
    <w:rsid w:val="00BF157C"/>
    <w:rsid w:val="00BF3962"/>
    <w:rsid w:val="00BF44F0"/>
    <w:rsid w:val="00BF4803"/>
    <w:rsid w:val="00BF4D20"/>
    <w:rsid w:val="00C05DF8"/>
    <w:rsid w:val="00C111C0"/>
    <w:rsid w:val="00C11D7D"/>
    <w:rsid w:val="00C12D1E"/>
    <w:rsid w:val="00C16895"/>
    <w:rsid w:val="00C26A01"/>
    <w:rsid w:val="00C27723"/>
    <w:rsid w:val="00C2772C"/>
    <w:rsid w:val="00C312A9"/>
    <w:rsid w:val="00C34F4A"/>
    <w:rsid w:val="00C42B3E"/>
    <w:rsid w:val="00C43A23"/>
    <w:rsid w:val="00C466D6"/>
    <w:rsid w:val="00C50B2A"/>
    <w:rsid w:val="00C554DA"/>
    <w:rsid w:val="00C5567F"/>
    <w:rsid w:val="00C61A9B"/>
    <w:rsid w:val="00C61E3E"/>
    <w:rsid w:val="00C65D0D"/>
    <w:rsid w:val="00C7102C"/>
    <w:rsid w:val="00C7192E"/>
    <w:rsid w:val="00C72189"/>
    <w:rsid w:val="00C72517"/>
    <w:rsid w:val="00C72B15"/>
    <w:rsid w:val="00C75E1E"/>
    <w:rsid w:val="00C76868"/>
    <w:rsid w:val="00C7713C"/>
    <w:rsid w:val="00C81AA2"/>
    <w:rsid w:val="00C90231"/>
    <w:rsid w:val="00C92DAB"/>
    <w:rsid w:val="00C94AF7"/>
    <w:rsid w:val="00C951CF"/>
    <w:rsid w:val="00CA20B2"/>
    <w:rsid w:val="00CA5ABA"/>
    <w:rsid w:val="00CB3C4C"/>
    <w:rsid w:val="00CC4E88"/>
    <w:rsid w:val="00CC53CE"/>
    <w:rsid w:val="00CF1134"/>
    <w:rsid w:val="00CF53E8"/>
    <w:rsid w:val="00CF76B5"/>
    <w:rsid w:val="00D13026"/>
    <w:rsid w:val="00D13B05"/>
    <w:rsid w:val="00D227E9"/>
    <w:rsid w:val="00D229BA"/>
    <w:rsid w:val="00D2361B"/>
    <w:rsid w:val="00D26857"/>
    <w:rsid w:val="00D43242"/>
    <w:rsid w:val="00D46EA5"/>
    <w:rsid w:val="00D51591"/>
    <w:rsid w:val="00D51916"/>
    <w:rsid w:val="00D52D93"/>
    <w:rsid w:val="00D54167"/>
    <w:rsid w:val="00D56150"/>
    <w:rsid w:val="00D63A29"/>
    <w:rsid w:val="00D820E4"/>
    <w:rsid w:val="00D8736D"/>
    <w:rsid w:val="00D87EA4"/>
    <w:rsid w:val="00D92AAA"/>
    <w:rsid w:val="00D94501"/>
    <w:rsid w:val="00D94624"/>
    <w:rsid w:val="00D96186"/>
    <w:rsid w:val="00D96E68"/>
    <w:rsid w:val="00DA2E69"/>
    <w:rsid w:val="00DA5BC7"/>
    <w:rsid w:val="00DA66DB"/>
    <w:rsid w:val="00DB0D00"/>
    <w:rsid w:val="00DB2442"/>
    <w:rsid w:val="00DC23E2"/>
    <w:rsid w:val="00DC3AD5"/>
    <w:rsid w:val="00DD2D47"/>
    <w:rsid w:val="00DD397D"/>
    <w:rsid w:val="00DD432E"/>
    <w:rsid w:val="00DD6DDA"/>
    <w:rsid w:val="00DE1FF4"/>
    <w:rsid w:val="00DE3B10"/>
    <w:rsid w:val="00DF0E97"/>
    <w:rsid w:val="00E01138"/>
    <w:rsid w:val="00E03CA6"/>
    <w:rsid w:val="00E04BCE"/>
    <w:rsid w:val="00E05CA7"/>
    <w:rsid w:val="00E06ADB"/>
    <w:rsid w:val="00E07C5D"/>
    <w:rsid w:val="00E10094"/>
    <w:rsid w:val="00E13BCE"/>
    <w:rsid w:val="00E14FD4"/>
    <w:rsid w:val="00E22039"/>
    <w:rsid w:val="00E238BC"/>
    <w:rsid w:val="00E26409"/>
    <w:rsid w:val="00E27D3E"/>
    <w:rsid w:val="00E300DA"/>
    <w:rsid w:val="00E341C5"/>
    <w:rsid w:val="00E3443A"/>
    <w:rsid w:val="00E379E3"/>
    <w:rsid w:val="00E42405"/>
    <w:rsid w:val="00E477BE"/>
    <w:rsid w:val="00E507EC"/>
    <w:rsid w:val="00E62B4B"/>
    <w:rsid w:val="00E642E1"/>
    <w:rsid w:val="00E648A7"/>
    <w:rsid w:val="00E722F2"/>
    <w:rsid w:val="00E81520"/>
    <w:rsid w:val="00E81B26"/>
    <w:rsid w:val="00E83B31"/>
    <w:rsid w:val="00E8454C"/>
    <w:rsid w:val="00E85DDC"/>
    <w:rsid w:val="00E85E48"/>
    <w:rsid w:val="00E86224"/>
    <w:rsid w:val="00E87649"/>
    <w:rsid w:val="00EA00BE"/>
    <w:rsid w:val="00EA4355"/>
    <w:rsid w:val="00EA7E5B"/>
    <w:rsid w:val="00EB11CE"/>
    <w:rsid w:val="00EB29B7"/>
    <w:rsid w:val="00EC2D7E"/>
    <w:rsid w:val="00EC4CAF"/>
    <w:rsid w:val="00EC550F"/>
    <w:rsid w:val="00EC557F"/>
    <w:rsid w:val="00EC762F"/>
    <w:rsid w:val="00EC78DB"/>
    <w:rsid w:val="00ED38E0"/>
    <w:rsid w:val="00EE260A"/>
    <w:rsid w:val="00EE33E4"/>
    <w:rsid w:val="00EF4096"/>
    <w:rsid w:val="00F00189"/>
    <w:rsid w:val="00F03929"/>
    <w:rsid w:val="00F04764"/>
    <w:rsid w:val="00F04793"/>
    <w:rsid w:val="00F16611"/>
    <w:rsid w:val="00F178FD"/>
    <w:rsid w:val="00F21CC9"/>
    <w:rsid w:val="00F26C1E"/>
    <w:rsid w:val="00F31006"/>
    <w:rsid w:val="00F31260"/>
    <w:rsid w:val="00F31298"/>
    <w:rsid w:val="00F31523"/>
    <w:rsid w:val="00F35140"/>
    <w:rsid w:val="00F3636B"/>
    <w:rsid w:val="00F41E97"/>
    <w:rsid w:val="00F54DBF"/>
    <w:rsid w:val="00F57555"/>
    <w:rsid w:val="00F642FE"/>
    <w:rsid w:val="00F71A5B"/>
    <w:rsid w:val="00F71EAC"/>
    <w:rsid w:val="00F75449"/>
    <w:rsid w:val="00F76945"/>
    <w:rsid w:val="00F7763A"/>
    <w:rsid w:val="00F833D0"/>
    <w:rsid w:val="00F9159B"/>
    <w:rsid w:val="00F950C9"/>
    <w:rsid w:val="00F956E3"/>
    <w:rsid w:val="00F95BD4"/>
    <w:rsid w:val="00FA29EA"/>
    <w:rsid w:val="00FA2FFE"/>
    <w:rsid w:val="00FA4946"/>
    <w:rsid w:val="00FA67E9"/>
    <w:rsid w:val="00FA7DCC"/>
    <w:rsid w:val="00FC22EA"/>
    <w:rsid w:val="00FC481B"/>
    <w:rsid w:val="00FC5AC7"/>
    <w:rsid w:val="00FC5F11"/>
    <w:rsid w:val="00FD6864"/>
    <w:rsid w:val="00FE2656"/>
    <w:rsid w:val="00FF284B"/>
    <w:rsid w:val="00FF4C18"/>
    <w:rsid w:val="00FF5696"/>
    <w:rsid w:val="15776BA5"/>
    <w:rsid w:val="4CA1ECDB"/>
    <w:rsid w:val="4F50B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6F37C"/>
  <w15:chartTrackingRefBased/>
  <w15:docId w15:val="{9E40B59C-6CDE-4DBB-86DA-71813786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1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34"/>
  </w:style>
  <w:style w:type="paragraph" w:styleId="Footer">
    <w:name w:val="footer"/>
    <w:basedOn w:val="Normal"/>
    <w:link w:val="FooterChar"/>
    <w:uiPriority w:val="99"/>
    <w:unhideWhenUsed/>
    <w:rsid w:val="00CF1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34"/>
  </w:style>
  <w:style w:type="paragraph" w:styleId="BalloonText">
    <w:name w:val="Balloon Text"/>
    <w:basedOn w:val="Normal"/>
    <w:link w:val="BalloonTextChar"/>
    <w:uiPriority w:val="99"/>
    <w:semiHidden/>
    <w:unhideWhenUsed/>
    <w:rsid w:val="00801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6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8B561EB86864497C49D669518D707" ma:contentTypeVersion="16" ma:contentTypeDescription="Create a new document." ma:contentTypeScope="" ma:versionID="8c77bac81a85961aed81756514c280d4">
  <xsd:schema xmlns:xsd="http://www.w3.org/2001/XMLSchema" xmlns:xs="http://www.w3.org/2001/XMLSchema" xmlns:p="http://schemas.microsoft.com/office/2006/metadata/properties" xmlns:ns2="7b4b5dc6-7355-4b26-8e60-bb3e8b6e76df" xmlns:ns3="516437e4-1b6a-4f0d-acc6-84cbb261cd32" targetNamespace="http://schemas.microsoft.com/office/2006/metadata/properties" ma:root="true" ma:fieldsID="666a342204d151e6d6de37b13d4a772d" ns2:_="" ns3:_="">
    <xsd:import namespace="7b4b5dc6-7355-4b26-8e60-bb3e8b6e76df"/>
    <xsd:import namespace="516437e4-1b6a-4f0d-acc6-84cbb261cd32"/>
    <xsd:element name="properties">
      <xsd:complexType>
        <xsd:sequence>
          <xsd:element name="documentManagement">
            <xsd:complexType>
              <xsd:all>
                <xsd:element ref="ns2:Too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b5dc6-7355-4b26-8e60-bb3e8b6e76df" elementFormDefault="qualified">
    <xsd:import namespace="http://schemas.microsoft.com/office/2006/documentManagement/types"/>
    <xsd:import namespace="http://schemas.microsoft.com/office/infopath/2007/PartnerControls"/>
    <xsd:element name="Tool" ma:index="9" nillable="true" ma:displayName="Tool" ma:format="Dropdown" ma:internalName="Tool">
      <xsd:simpleType>
        <xsd:restriction base="dms:Choice">
          <xsd:enumeration value="Gradescope"/>
          <xsd:enumeration value="Cadmus"/>
          <xsd:enumeration value="Canva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37e4-1b6a-4f0d-acc6-84cbb261cd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2350b82-1d50-45a2-8d22-7baa3e4ee9f3}" ma:internalName="TaxCatchAll" ma:showField="CatchAllData" ma:web="516437e4-1b6a-4f0d-acc6-84cbb261c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6437e4-1b6a-4f0d-acc6-84cbb261cd32" xsi:nil="true"/>
    <lcf76f155ced4ddcb4097134ff3c332f xmlns="7b4b5dc6-7355-4b26-8e60-bb3e8b6e76df">
      <Terms xmlns="http://schemas.microsoft.com/office/infopath/2007/PartnerControls"/>
    </lcf76f155ced4ddcb4097134ff3c332f>
    <Tool xmlns="7b4b5dc6-7355-4b26-8e60-bb3e8b6e76d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C1220-8F40-7443-B628-753E37129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3E10BF-D4B7-4AFA-874A-D4A3E13EE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b5dc6-7355-4b26-8e60-bb3e8b6e76df"/>
    <ds:schemaRef ds:uri="516437e4-1b6a-4f0d-acc6-84cbb261c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45BA6-60C2-4291-9C05-98FFC6821256}">
  <ds:schemaRefs>
    <ds:schemaRef ds:uri="http://schemas.microsoft.com/office/2006/metadata/properties"/>
    <ds:schemaRef ds:uri="http://schemas.microsoft.com/office/infopath/2007/PartnerControls"/>
    <ds:schemaRef ds:uri="516437e4-1b6a-4f0d-acc6-84cbb261cd32"/>
    <ds:schemaRef ds:uri="7b4b5dc6-7355-4b26-8e60-bb3e8b6e76df"/>
  </ds:schemaRefs>
</ds:datastoreItem>
</file>

<file path=customXml/itemProps4.xml><?xml version="1.0" encoding="utf-8"?>
<ds:datastoreItem xmlns:ds="http://schemas.openxmlformats.org/officeDocument/2006/customXml" ds:itemID="{61945CC5-2F6C-4D13-B3B2-9993EDB29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1025</Words>
  <Characters>6100</Characters>
  <Application>Microsoft Office Word</Application>
  <DocSecurity>0</DocSecurity>
  <Lines>320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University of Melbourne</dc:creator>
  <cp:keywords/>
  <dc:description/>
  <cp:lastModifiedBy>Dean Collett</cp:lastModifiedBy>
  <cp:revision>3</cp:revision>
  <cp:lastPrinted>2019-07-17T19:54:00Z</cp:lastPrinted>
  <dcterms:created xsi:type="dcterms:W3CDTF">2025-10-15T04:34:00Z</dcterms:created>
  <dcterms:modified xsi:type="dcterms:W3CDTF">2025-10-15T04:36:00Z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0x0101008C48B561EB86864497C49D669518D707</vt:lpwstr>
  </property>
  <property fmtid="{D5CDD505-2E9C-101B-9397-08002B2CF9AE}" pid="3" name="MediaServiceImageTags">
    <vt:lpwstr/>
  </property>
</Properties>
</file>